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AB5AC">
      <w:pPr>
        <w:adjustRightInd w:val="0"/>
        <w:snapToGrid w:val="0"/>
        <w:spacing w:line="240" w:lineRule="auto"/>
        <w:jc w:val="both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附件4-1</w:t>
      </w:r>
    </w:p>
    <w:p w14:paraId="1ECEB6DB">
      <w:pPr>
        <w:adjustRightInd w:val="0"/>
        <w:snapToGrid w:val="0"/>
        <w:spacing w:line="1020" w:lineRule="exact"/>
        <w:ind w:left="2640" w:hanging="2640" w:hangingChars="600"/>
        <w:jc w:val="center"/>
        <w:rPr>
          <w:rFonts w:hint="default" w:ascii="Times New Roman" w:hAnsi="Times New Roman" w:eastAsia="黑体"/>
          <w:bCs/>
          <w:sz w:val="44"/>
          <w:szCs w:val="44"/>
          <w:lang w:val="en-US"/>
        </w:rPr>
      </w:pPr>
      <w:r>
        <w:rPr>
          <w:rFonts w:hint="eastAsia" w:eastAsia="黑体"/>
          <w:bCs/>
          <w:sz w:val="44"/>
          <w:szCs w:val="44"/>
          <w:lang w:val="en-US" w:eastAsia="zh-CN"/>
        </w:rPr>
        <w:t>2021-2025年</w:t>
      </w:r>
      <w:r>
        <w:rPr>
          <w:rFonts w:hint="eastAsia" w:eastAsia="黑体"/>
          <w:bCs/>
          <w:sz w:val="44"/>
          <w:szCs w:val="44"/>
        </w:rPr>
        <w:t>提高高等教育毛入学率</w:t>
      </w:r>
      <w:r>
        <w:rPr>
          <w:rFonts w:hint="eastAsia" w:eastAsia="黑体"/>
          <w:bCs/>
          <w:sz w:val="44"/>
          <w:szCs w:val="44"/>
          <w:lang w:val="en-US" w:eastAsia="zh-CN"/>
        </w:rPr>
        <w:t>项目</w:t>
      </w:r>
    </w:p>
    <w:p w14:paraId="62473811">
      <w:pPr>
        <w:adjustRightInd w:val="0"/>
        <w:snapToGrid w:val="0"/>
        <w:spacing w:line="1020" w:lineRule="exact"/>
        <w:jc w:val="center"/>
        <w:rPr>
          <w:rFonts w:hint="default" w:ascii="Times New Roman" w:hAnsi="Times New Roman" w:eastAsia="黑体"/>
          <w:sz w:val="44"/>
          <w:szCs w:val="44"/>
          <w:lang w:val="en-US" w:eastAsia="zh-CN"/>
        </w:rPr>
      </w:pPr>
      <w:r>
        <w:rPr>
          <w:rFonts w:hint="eastAsia" w:eastAsia="黑体"/>
          <w:bCs/>
          <w:sz w:val="44"/>
          <w:szCs w:val="44"/>
          <w:lang w:val="en-US" w:eastAsia="zh-CN"/>
        </w:rPr>
        <w:t>绩效自评</w:t>
      </w:r>
      <w:r>
        <w:rPr>
          <w:rFonts w:hint="eastAsia" w:ascii="Times New Roman" w:hAnsi="Times New Roman" w:eastAsia="黑体"/>
          <w:sz w:val="44"/>
          <w:szCs w:val="44"/>
          <w:lang w:val="en-US" w:eastAsia="zh-CN"/>
        </w:rPr>
        <w:t>报告</w:t>
      </w:r>
    </w:p>
    <w:p w14:paraId="4DEFA41D">
      <w:pPr>
        <w:spacing w:before="156" w:beforeLines="50" w:after="156" w:afterLines="5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3104318F">
      <w:pPr>
        <w:spacing w:before="156" w:beforeLines="50" w:after="156" w:afterLines="5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36E51E6B">
      <w:pPr>
        <w:spacing w:before="156" w:beforeLines="50" w:after="156" w:afterLines="5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033F7768">
      <w:pPr>
        <w:pStyle w:val="2"/>
        <w:outlineLvl w:val="9"/>
        <w:rPr>
          <w:rFonts w:hint="eastAsia" w:ascii="Times New Roman" w:hAnsi="Times New Roman" w:eastAsia="黑体"/>
          <w:sz w:val="44"/>
          <w:szCs w:val="44"/>
        </w:rPr>
      </w:pPr>
    </w:p>
    <w:p w14:paraId="0CCF813E">
      <w:pPr>
        <w:pStyle w:val="2"/>
        <w:outlineLvl w:val="9"/>
        <w:rPr>
          <w:rFonts w:hint="eastAsia" w:ascii="Times New Roman" w:hAnsi="Times New Roman"/>
        </w:rPr>
      </w:pPr>
    </w:p>
    <w:p w14:paraId="6839B98D">
      <w:pPr>
        <w:rPr>
          <w:rFonts w:hint="eastAsia" w:ascii="Times New Roman" w:hAnsi="Times New Roman"/>
        </w:rPr>
      </w:pPr>
    </w:p>
    <w:p w14:paraId="623C49A5">
      <w:pPr>
        <w:pStyle w:val="2"/>
        <w:outlineLvl w:val="9"/>
        <w:rPr>
          <w:rFonts w:hint="eastAsia" w:ascii="Times New Roman" w:hAnsi="Times New Roman"/>
        </w:rPr>
      </w:pPr>
    </w:p>
    <w:p w14:paraId="07F58CEE">
      <w:pPr>
        <w:spacing w:before="156" w:beforeLines="50" w:after="156" w:afterLines="5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56EA02AE">
      <w:pPr>
        <w:snapToGrid w:val="0"/>
        <w:spacing w:beforeLines="0" w:afterLines="0"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 xml:space="preserve">         </w:t>
      </w:r>
    </w:p>
    <w:p w14:paraId="48568388">
      <w:pPr>
        <w:pStyle w:val="7"/>
        <w:ind w:left="0" w:leftChars="0" w:firstLine="0" w:firstLineChars="0"/>
        <w:rPr>
          <w:rFonts w:hint="eastAsia" w:ascii="Times New Roman" w:hAnsi="Times New Roman" w:eastAsia="黑体"/>
          <w:sz w:val="44"/>
          <w:szCs w:val="44"/>
        </w:rPr>
      </w:pPr>
    </w:p>
    <w:p w14:paraId="7197B06B">
      <w:pPr>
        <w:snapToGrid w:val="0"/>
        <w:spacing w:line="360" w:lineRule="auto"/>
        <w:ind w:left="0" w:leftChars="0" w:firstLine="0" w:firstLineChars="0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 xml:space="preserve">          部门名称：</w:t>
      </w:r>
      <w:r>
        <w:rPr>
          <w:rFonts w:hint="eastAsia" w:ascii="仿宋_GB2312" w:cs="Times New Roman"/>
          <w:color w:val="auto"/>
          <w:sz w:val="32"/>
          <w:szCs w:val="32"/>
          <w:highlight w:val="none"/>
          <w:lang w:val="en-US" w:eastAsia="zh-CN"/>
        </w:rPr>
        <w:t>广东轻工职业技术大学</w:t>
      </w:r>
    </w:p>
    <w:p w14:paraId="22D307AE">
      <w:pPr>
        <w:snapToGrid w:val="0"/>
        <w:spacing w:line="360" w:lineRule="auto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 xml:space="preserve">          填报人：</w:t>
      </w:r>
      <w:r>
        <w:rPr>
          <w:rFonts w:hint="eastAsia" w:ascii="仿宋_GB2312" w:cs="Times New Roman"/>
          <w:color w:val="auto"/>
          <w:sz w:val="32"/>
          <w:szCs w:val="32"/>
          <w:highlight w:val="none"/>
          <w:lang w:val="en-US" w:eastAsia="zh-CN"/>
        </w:rPr>
        <w:t>徐梦艺</w:t>
      </w:r>
    </w:p>
    <w:p w14:paraId="160971C3">
      <w:pPr>
        <w:snapToGrid w:val="0"/>
        <w:spacing w:line="360" w:lineRule="auto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 xml:space="preserve">          联系电话：</w:t>
      </w:r>
      <w:r>
        <w:rPr>
          <w:rFonts w:hint="eastAsia" w:ascii="仿宋_GB2312" w:cs="Times New Roman"/>
          <w:color w:val="auto"/>
          <w:sz w:val="32"/>
          <w:szCs w:val="32"/>
          <w:highlight w:val="none"/>
          <w:lang w:val="en-US" w:eastAsia="zh-CN"/>
        </w:rPr>
        <w:t>15514785215</w:t>
      </w:r>
    </w:p>
    <w:p w14:paraId="2FD21F24">
      <w:pPr>
        <w:snapToGrid w:val="0"/>
        <w:spacing w:line="360" w:lineRule="auto"/>
        <w:rPr>
          <w:rFonts w:hint="default" w:eastAsia="仿宋_GB2312"/>
          <w:lang w:val="en-US" w:eastAsia="zh-CN"/>
        </w:rPr>
        <w:sectPr>
          <w:pgSz w:w="11906" w:h="16838"/>
          <w:pgMar w:top="2041" w:right="1417" w:bottom="1417" w:left="1531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 xml:space="preserve">          填报日期</w:t>
      </w:r>
      <w:bookmarkStart w:id="0" w:name="_Toc21411"/>
      <w:r>
        <w:rPr>
          <w:rFonts w:hint="eastAsia" w:ascii="仿宋_GB2312" w:cs="Times New Roman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cs="Times New Roman"/>
          <w:color w:val="auto"/>
          <w:sz w:val="32"/>
          <w:szCs w:val="32"/>
          <w:highlight w:val="none"/>
          <w:lang w:val="en-US" w:eastAsia="zh-CN"/>
        </w:rPr>
        <w:t>2025-5-15</w:t>
      </w:r>
      <w:bookmarkStart w:id="4" w:name="_GoBack"/>
      <w:bookmarkEnd w:id="4"/>
    </w:p>
    <w:bookmarkEnd w:id="0"/>
    <w:p w14:paraId="2376B101"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bookmarkStart w:id="1" w:name="_Toc6861"/>
      <w:bookmarkStart w:id="2" w:name="_Toc27308"/>
      <w:bookmarkStart w:id="3" w:name="_Toc30733"/>
      <w:r>
        <w:rPr>
          <w:rFonts w:hint="eastAsia" w:ascii="黑体" w:eastAsia="黑体"/>
          <w:sz w:val="32"/>
          <w:szCs w:val="32"/>
        </w:rPr>
        <w:t>一、基本情况</w:t>
      </w:r>
    </w:p>
    <w:p w14:paraId="57C15A74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主要包括</w:t>
      </w:r>
      <w:r>
        <w:rPr>
          <w:rFonts w:hint="eastAsia" w:ascii="仿宋_GB2312"/>
          <w:sz w:val="32"/>
          <w:szCs w:val="32"/>
          <w:lang w:eastAsia="zh-CN"/>
        </w:rPr>
        <w:t>政策项目被</w:t>
      </w:r>
      <w:r>
        <w:rPr>
          <w:rFonts w:hint="eastAsia" w:ascii="仿宋_GB2312" w:eastAsia="仿宋_GB2312"/>
          <w:sz w:val="32"/>
          <w:szCs w:val="32"/>
        </w:rPr>
        <w:t>评价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eastAsia="仿宋_GB2312"/>
          <w:sz w:val="32"/>
          <w:szCs w:val="32"/>
        </w:rPr>
        <w:t>资金额度、资金分配方式、主要用途、扶持对象和绩效目标等情况。</w:t>
      </w:r>
    </w:p>
    <w:p w14:paraId="4D5C90E6">
      <w:pPr>
        <w:snapToGrid w:val="0"/>
        <w:spacing w:beforeLines="0" w:afterLines="0"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我校下达2021年教育发展-提毛专项资金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/>
          <w:sz w:val="32"/>
          <w:szCs w:val="32"/>
          <w:lang w:val="en-US" w:eastAsia="zh-CN"/>
        </w:rPr>
        <w:t>518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/>
          <w:sz w:val="32"/>
          <w:szCs w:val="32"/>
          <w:lang w:eastAsia="zh-CN"/>
        </w:rPr>
        <w:t>、提高高等教育毛入学率奖补资金</w:t>
      </w:r>
      <w:r>
        <w:rPr>
          <w:rFonts w:hint="eastAsia" w:ascii="仿宋_GB2312"/>
          <w:sz w:val="32"/>
          <w:szCs w:val="32"/>
          <w:lang w:val="en-US" w:eastAsia="zh-CN"/>
        </w:rPr>
        <w:t>5000万元、2022提高高等教育毛入学率奖补资金19164万元</w:t>
      </w:r>
      <w:r>
        <w:rPr>
          <w:rFonts w:hint="eastAsia" w:ascii="仿宋_GB2312" w:eastAsia="仿宋_GB2312"/>
          <w:sz w:val="32"/>
          <w:szCs w:val="32"/>
          <w:lang w:eastAsia="zh-CN"/>
        </w:rPr>
        <w:t>。该资金主要用于我校“提毛”项目支出，根据申报的计划，在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我校新增学位4000个，新增校舍建筑面积89188.6平方米（报建后经政府主管部门审批实际建筑面积为74228.69平方米）。根据《广东省教育厅关于开展2025年省级财政教育资金终点绩效自评工作的通知》要求，我校对该专项资金的使用进行自评。</w:t>
      </w:r>
    </w:p>
    <w:p w14:paraId="7D7CC1EC">
      <w:pPr>
        <w:snapToGrid w:val="0"/>
        <w:spacing w:beforeLines="0" w:afterLines="0" w:line="560" w:lineRule="exact"/>
        <w:ind w:firstLine="640" w:firstLineChars="200"/>
        <w:jc w:val="left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我校2019年上报并通过审批的提高高等教育毛入学率基建项目共计7个项目，截止至202</w:t>
      </w:r>
      <w:r>
        <w:rPr>
          <w:rFonts w:hint="eastAsia" w:ascii="仿宋_GB2312" w:hAnsi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sz w:val="32"/>
          <w:szCs w:val="32"/>
        </w:rPr>
        <w:t>日已完成通过验收，并投入使用项目</w:t>
      </w:r>
      <w:r>
        <w:rPr>
          <w:rFonts w:hint="eastAsia" w:ascii="仿宋_GB2312" w:hAnsi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个，</w:t>
      </w:r>
      <w:r>
        <w:rPr>
          <w:rFonts w:hint="eastAsia" w:ascii="仿宋_GB2312" w:hAnsi="Times New Roman"/>
          <w:sz w:val="32"/>
          <w:szCs w:val="32"/>
          <w:lang w:val="en-US" w:eastAsia="zh-CN"/>
        </w:rPr>
        <w:t>申请撤销的项目1个</w:t>
      </w:r>
      <w:r>
        <w:rPr>
          <w:rFonts w:hint="eastAsia" w:ascii="仿宋_GB2312" w:hAnsi="Times New Roman" w:eastAsia="仿宋_GB2312"/>
          <w:sz w:val="32"/>
          <w:szCs w:val="32"/>
        </w:rPr>
        <w:t>。具体情况如下表：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3705"/>
        <w:gridCol w:w="2697"/>
        <w:gridCol w:w="1889"/>
      </w:tblGrid>
      <w:tr w14:paraId="05A68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pct"/>
            <w:noWrap w:val="0"/>
            <w:vAlign w:val="center"/>
          </w:tcPr>
          <w:p w14:paraId="55D19F27">
            <w:pPr>
              <w:snapToGrid w:val="0"/>
              <w:spacing w:beforeLines="0" w:afterLines="0" w:line="240" w:lineRule="auto"/>
              <w:ind w:firstLine="0" w:firstLineChars="0"/>
              <w:jc w:val="center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序号</w:t>
            </w:r>
          </w:p>
        </w:tc>
        <w:tc>
          <w:tcPr>
            <w:tcW w:w="2020" w:type="pct"/>
            <w:noWrap w:val="0"/>
            <w:vAlign w:val="center"/>
          </w:tcPr>
          <w:p w14:paraId="047EAA8B">
            <w:pPr>
              <w:snapToGrid w:val="0"/>
              <w:spacing w:beforeLines="0" w:afterLines="0" w:line="240" w:lineRule="auto"/>
              <w:ind w:firstLine="0" w:firstLineChars="0"/>
              <w:jc w:val="center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项目名称</w:t>
            </w:r>
          </w:p>
        </w:tc>
        <w:tc>
          <w:tcPr>
            <w:tcW w:w="1470" w:type="pct"/>
            <w:noWrap w:val="0"/>
            <w:vAlign w:val="center"/>
          </w:tcPr>
          <w:p w14:paraId="0131334A">
            <w:pPr>
              <w:snapToGrid w:val="0"/>
              <w:spacing w:beforeLines="0" w:afterLines="0" w:line="240" w:lineRule="auto"/>
              <w:ind w:firstLine="0" w:firstLineChars="0"/>
              <w:jc w:val="center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进度情况</w:t>
            </w:r>
          </w:p>
        </w:tc>
        <w:tc>
          <w:tcPr>
            <w:tcW w:w="1030" w:type="pct"/>
            <w:noWrap w:val="0"/>
            <w:vAlign w:val="center"/>
          </w:tcPr>
          <w:p w14:paraId="4AF6014C">
            <w:pPr>
              <w:snapToGrid w:val="0"/>
              <w:spacing w:beforeLines="0" w:afterLines="0" w:line="240" w:lineRule="auto"/>
              <w:ind w:firstLine="0" w:firstLineChars="0"/>
              <w:jc w:val="center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进度对比</w:t>
            </w:r>
          </w:p>
        </w:tc>
      </w:tr>
      <w:tr w14:paraId="397AC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pct"/>
            <w:noWrap w:val="0"/>
            <w:vAlign w:val="center"/>
          </w:tcPr>
          <w:p w14:paraId="52111F30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1</w:t>
            </w:r>
          </w:p>
        </w:tc>
        <w:tc>
          <w:tcPr>
            <w:tcW w:w="2020" w:type="pct"/>
            <w:noWrap w:val="0"/>
            <w:vAlign w:val="center"/>
          </w:tcPr>
          <w:p w14:paraId="135639FF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广州校区电力增容项目</w:t>
            </w:r>
          </w:p>
        </w:tc>
        <w:tc>
          <w:tcPr>
            <w:tcW w:w="1470" w:type="pct"/>
            <w:noWrap w:val="0"/>
            <w:vAlign w:val="center"/>
          </w:tcPr>
          <w:p w14:paraId="752E3AAA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已竣工、投入使用</w:t>
            </w:r>
          </w:p>
        </w:tc>
        <w:tc>
          <w:tcPr>
            <w:tcW w:w="1030" w:type="pct"/>
            <w:noWrap w:val="0"/>
            <w:vAlign w:val="center"/>
          </w:tcPr>
          <w:p w14:paraId="4D1C592F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按计划完成</w:t>
            </w:r>
          </w:p>
        </w:tc>
      </w:tr>
      <w:tr w14:paraId="7C14B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pct"/>
            <w:noWrap w:val="0"/>
            <w:vAlign w:val="center"/>
          </w:tcPr>
          <w:p w14:paraId="33B75232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2</w:t>
            </w:r>
          </w:p>
        </w:tc>
        <w:tc>
          <w:tcPr>
            <w:tcW w:w="2020" w:type="pct"/>
            <w:noWrap w:val="0"/>
            <w:vAlign w:val="center"/>
          </w:tcPr>
          <w:p w14:paraId="746D8AD4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广东轻工职业技术学院南海校区体育馆（中心）及配套项目</w:t>
            </w:r>
          </w:p>
        </w:tc>
        <w:tc>
          <w:tcPr>
            <w:tcW w:w="1470" w:type="pct"/>
            <w:noWrap w:val="0"/>
            <w:vAlign w:val="center"/>
          </w:tcPr>
          <w:p w14:paraId="780086EE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已竣工、投入使用</w:t>
            </w:r>
          </w:p>
        </w:tc>
        <w:tc>
          <w:tcPr>
            <w:tcW w:w="1030" w:type="pct"/>
            <w:noWrap w:val="0"/>
            <w:vAlign w:val="center"/>
          </w:tcPr>
          <w:p w14:paraId="5C817AAE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按计划完成</w:t>
            </w:r>
          </w:p>
        </w:tc>
      </w:tr>
      <w:tr w14:paraId="0AC3A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pct"/>
            <w:noWrap w:val="0"/>
            <w:vAlign w:val="center"/>
          </w:tcPr>
          <w:p w14:paraId="50FA40AF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3</w:t>
            </w:r>
          </w:p>
        </w:tc>
        <w:tc>
          <w:tcPr>
            <w:tcW w:w="2020" w:type="pct"/>
            <w:noWrap w:val="0"/>
            <w:vAlign w:val="center"/>
          </w:tcPr>
          <w:p w14:paraId="03815983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广东轻工职业技术学院南海校区学生公寓1-4及配套项目</w:t>
            </w:r>
          </w:p>
        </w:tc>
        <w:tc>
          <w:tcPr>
            <w:tcW w:w="1470" w:type="pct"/>
            <w:noWrap w:val="0"/>
            <w:vAlign w:val="center"/>
          </w:tcPr>
          <w:p w14:paraId="220FC492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已竣工、投入使用</w:t>
            </w:r>
          </w:p>
        </w:tc>
        <w:tc>
          <w:tcPr>
            <w:tcW w:w="1030" w:type="pct"/>
            <w:noWrap w:val="0"/>
            <w:vAlign w:val="center"/>
          </w:tcPr>
          <w:p w14:paraId="7EC4C131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按计划完成</w:t>
            </w:r>
          </w:p>
        </w:tc>
      </w:tr>
      <w:tr w14:paraId="40CE6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pct"/>
            <w:noWrap w:val="0"/>
            <w:vAlign w:val="center"/>
          </w:tcPr>
          <w:p w14:paraId="0D550884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4</w:t>
            </w:r>
          </w:p>
        </w:tc>
        <w:tc>
          <w:tcPr>
            <w:tcW w:w="2020" w:type="pct"/>
            <w:noWrap w:val="0"/>
            <w:vAlign w:val="center"/>
          </w:tcPr>
          <w:p w14:paraId="40397F34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广东轻工职业技术学院南海校区二期研发中心项目</w:t>
            </w:r>
          </w:p>
        </w:tc>
        <w:tc>
          <w:tcPr>
            <w:tcW w:w="1470" w:type="pct"/>
            <w:noWrap w:val="0"/>
            <w:vAlign w:val="center"/>
          </w:tcPr>
          <w:p w14:paraId="08398031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已竣工、投入使用</w:t>
            </w:r>
          </w:p>
        </w:tc>
        <w:tc>
          <w:tcPr>
            <w:tcW w:w="1030" w:type="pct"/>
            <w:noWrap w:val="0"/>
            <w:vAlign w:val="center"/>
          </w:tcPr>
          <w:p w14:paraId="435B71B1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按计划完成</w:t>
            </w:r>
          </w:p>
        </w:tc>
      </w:tr>
      <w:tr w14:paraId="415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pct"/>
            <w:noWrap w:val="0"/>
            <w:vAlign w:val="center"/>
          </w:tcPr>
          <w:p w14:paraId="78148A3A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5</w:t>
            </w:r>
          </w:p>
        </w:tc>
        <w:tc>
          <w:tcPr>
            <w:tcW w:w="2020" w:type="pct"/>
            <w:noWrap w:val="0"/>
            <w:vAlign w:val="center"/>
          </w:tcPr>
          <w:p w14:paraId="06ADA367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广东轻工职业技术学院南海校区二期运动场项目</w:t>
            </w:r>
          </w:p>
        </w:tc>
        <w:tc>
          <w:tcPr>
            <w:tcW w:w="1470" w:type="pct"/>
            <w:noWrap w:val="0"/>
            <w:vAlign w:val="center"/>
          </w:tcPr>
          <w:p w14:paraId="6E5C76A0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/>
                <w:sz w:val="32"/>
                <w:szCs w:val="32"/>
                <w:lang w:val="en-US" w:eastAsia="zh-CN"/>
              </w:rPr>
              <w:t>已撤销</w:t>
            </w:r>
          </w:p>
        </w:tc>
        <w:tc>
          <w:tcPr>
            <w:tcW w:w="1030" w:type="pct"/>
            <w:noWrap w:val="0"/>
            <w:vAlign w:val="center"/>
          </w:tcPr>
          <w:p w14:paraId="597D0CC3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/>
                <w:sz w:val="32"/>
                <w:szCs w:val="32"/>
                <w:lang w:val="en-US" w:eastAsia="zh-CN"/>
              </w:rPr>
              <w:t>已撤销</w:t>
            </w:r>
          </w:p>
        </w:tc>
      </w:tr>
      <w:tr w14:paraId="64005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pct"/>
            <w:noWrap w:val="0"/>
            <w:vAlign w:val="center"/>
          </w:tcPr>
          <w:p w14:paraId="285F109A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6</w:t>
            </w:r>
          </w:p>
        </w:tc>
        <w:tc>
          <w:tcPr>
            <w:tcW w:w="2020" w:type="pct"/>
            <w:noWrap w:val="0"/>
            <w:vAlign w:val="center"/>
          </w:tcPr>
          <w:p w14:paraId="1869B387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广东轻工职业技术学院南海校区二期三通一平建设项目</w:t>
            </w:r>
          </w:p>
        </w:tc>
        <w:tc>
          <w:tcPr>
            <w:tcW w:w="1470" w:type="pct"/>
            <w:noWrap w:val="0"/>
            <w:vAlign w:val="center"/>
          </w:tcPr>
          <w:p w14:paraId="188444D4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已竣工、投入使用</w:t>
            </w:r>
          </w:p>
        </w:tc>
        <w:tc>
          <w:tcPr>
            <w:tcW w:w="1030" w:type="pct"/>
            <w:noWrap w:val="0"/>
            <w:vAlign w:val="center"/>
          </w:tcPr>
          <w:p w14:paraId="0D6BC840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按计划完成</w:t>
            </w:r>
          </w:p>
        </w:tc>
      </w:tr>
      <w:tr w14:paraId="574BA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pct"/>
            <w:noWrap w:val="0"/>
            <w:vAlign w:val="center"/>
          </w:tcPr>
          <w:p w14:paraId="346F2CD9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7</w:t>
            </w:r>
          </w:p>
        </w:tc>
        <w:tc>
          <w:tcPr>
            <w:tcW w:w="2020" w:type="pct"/>
            <w:noWrap w:val="0"/>
            <w:vAlign w:val="center"/>
          </w:tcPr>
          <w:p w14:paraId="75DC36BA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广东轻工职业技术学院学生宿舍和综合体育馆（中心）电力增容项目</w:t>
            </w:r>
          </w:p>
        </w:tc>
        <w:tc>
          <w:tcPr>
            <w:tcW w:w="1470" w:type="pct"/>
            <w:noWrap w:val="0"/>
            <w:vAlign w:val="center"/>
          </w:tcPr>
          <w:p w14:paraId="0E782ED5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/>
                <w:sz w:val="32"/>
                <w:szCs w:val="32"/>
                <w:lang w:eastAsia="zh-CN"/>
              </w:rPr>
              <w:t>纳入体育馆和学生公寓项目</w:t>
            </w:r>
          </w:p>
        </w:tc>
        <w:tc>
          <w:tcPr>
            <w:tcW w:w="1030" w:type="pct"/>
            <w:noWrap w:val="0"/>
            <w:vAlign w:val="center"/>
          </w:tcPr>
          <w:p w14:paraId="24D94E40">
            <w:pPr>
              <w:snapToGrid w:val="0"/>
              <w:spacing w:beforeLines="0" w:afterLines="0" w:line="240" w:lineRule="auto"/>
              <w:ind w:firstLine="0" w:firstLineChars="0"/>
              <w:jc w:val="left"/>
              <w:rPr>
                <w:rFonts w:hint="eastAsia" w:ascii="仿宋_GB2312" w:hAnsi="Times New Roman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按计划完成</w:t>
            </w:r>
          </w:p>
        </w:tc>
      </w:tr>
    </w:tbl>
    <w:p w14:paraId="1478BC44">
      <w:pPr>
        <w:snapToGrid w:val="0"/>
        <w:spacing w:beforeLines="0" w:afterLines="0"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0BC68710"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 w14:paraId="275B9943">
      <w:pPr>
        <w:snapToGrid w:val="0"/>
        <w:spacing w:beforeLines="0" w:afterLines="0"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（一）自评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结论</w:t>
      </w:r>
    </w:p>
    <w:p w14:paraId="2325D29A">
      <w:pPr>
        <w:pStyle w:val="7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根据《广东省教育厅关于开展2025年省级财政教育资金终点绩效自评工作的通知》要求，我校对该专项资金的</w:t>
      </w:r>
      <w:r>
        <w:rPr>
          <w:rFonts w:hint="eastAsia" w:ascii="仿宋_GB2312" w:eastAsia="仿宋_GB2312"/>
          <w:sz w:val="32"/>
          <w:szCs w:val="32"/>
        </w:rPr>
        <w:t>资金额度、资金分配方式、主要用途、扶持对象和绩效目标等情况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进行自评，具体自评情况如下：</w:t>
      </w:r>
    </w:p>
    <w:p w14:paraId="58839AE7">
      <w:pPr>
        <w:snapToGrid w:val="0"/>
        <w:spacing w:beforeLines="0" w:afterLines="0"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根据自评标准，结合目前我校“提毛”项目完成情况、资金支出情况、项目推进过程中的管理、工作制度建立等实际情况，该项目自评分数为</w:t>
      </w:r>
      <w:r>
        <w:rPr>
          <w:rFonts w:hint="eastAsia" w:ascii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分，详见附件4。</w:t>
      </w:r>
    </w:p>
    <w:p w14:paraId="2C6B1B81">
      <w:pPr>
        <w:snapToGrid w:val="0"/>
        <w:spacing w:beforeLines="0" w:afterLines="0"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（二）资金使用绩效</w:t>
      </w:r>
    </w:p>
    <w:p w14:paraId="01379E59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1.资金支出情况。</w:t>
      </w:r>
    </w:p>
    <w:p w14:paraId="7AF34E88">
      <w:pPr>
        <w:snapToGrid w:val="0"/>
        <w:spacing w:beforeLines="0" w:afterLines="0"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截止至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份，该专项资金已全额支出，支出率100%，资金均用于提毛专项支出。项目支出审批程序符合要求，资金管理、费用标准、支付符合有关制度规定，无超范围、超标准支出，虚列支出，截留、挤占、挪用资金的，以及其他不符合制度规定支出的情况。</w:t>
      </w:r>
    </w:p>
    <w:p w14:paraId="1F78522A">
      <w:pPr>
        <w:numPr>
          <w:ilvl w:val="-1"/>
          <w:numId w:val="0"/>
        </w:numPr>
        <w:snapToGrid w:val="0"/>
        <w:spacing w:beforeLines="0" w:afterLines="0" w:line="360" w:lineRule="auto"/>
        <w:ind w:left="960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资金完成绩效目标情况。</w:t>
      </w:r>
    </w:p>
    <w:p w14:paraId="6F10B4D6">
      <w:pPr>
        <w:numPr>
          <w:ilvl w:val="0"/>
          <w:numId w:val="0"/>
        </w:numPr>
        <w:snapToGrid w:val="0"/>
        <w:spacing w:beforeLines="0" w:afterLines="0"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2019年申报提毛基建项目7个，目前实际完工项目</w:t>
      </w:r>
      <w:r>
        <w:rPr>
          <w:rFonts w:hint="eastAsia" w:ascii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个，</w:t>
      </w:r>
      <w:r>
        <w:rPr>
          <w:rFonts w:hint="eastAsia" w:ascii="仿宋_GB2312"/>
          <w:sz w:val="32"/>
          <w:szCs w:val="32"/>
          <w:lang w:val="en-US" w:eastAsia="zh-CN"/>
        </w:rPr>
        <w:t>已撤销项目1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个。</w:t>
      </w:r>
      <w:r>
        <w:rPr>
          <w:rFonts w:hint="eastAsia" w:ascii="仿宋_GB2312"/>
          <w:sz w:val="32"/>
          <w:szCs w:val="32"/>
          <w:lang w:val="en-US" w:eastAsia="zh-CN"/>
        </w:rPr>
        <w:t>相关专项资金完成支出100%、</w:t>
      </w:r>
    </w:p>
    <w:p w14:paraId="7C9EB472">
      <w:pPr>
        <w:numPr>
          <w:ilvl w:val="-1"/>
          <w:numId w:val="0"/>
        </w:numPr>
        <w:snapToGrid w:val="0"/>
        <w:spacing w:beforeLines="0" w:afterLines="0" w:line="360" w:lineRule="auto"/>
        <w:ind w:left="960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资金分用途使用绩效。</w:t>
      </w:r>
    </w:p>
    <w:p w14:paraId="418C1FEE">
      <w:pPr>
        <w:numPr>
          <w:ilvl w:val="0"/>
          <w:numId w:val="0"/>
        </w:numPr>
        <w:snapToGrid w:val="0"/>
        <w:spacing w:beforeLines="0" w:afterLines="0"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根据要求专项资金全部用于专项支出，截止至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月，全部支出，支出率100%，无超范围、超标准支出，虚列支出，截留、挤占、挪用资金的，以及其他不符合制度规定支出的情况。绩效目标符合要求。</w:t>
      </w:r>
    </w:p>
    <w:p w14:paraId="7CD2F3C2">
      <w:pPr>
        <w:numPr>
          <w:ilvl w:val="0"/>
          <w:numId w:val="1"/>
        </w:numPr>
        <w:snapToGrid w:val="0"/>
        <w:spacing w:beforeLines="0" w:afterLines="0"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资金使用绩效存在的问题</w:t>
      </w:r>
    </w:p>
    <w:p w14:paraId="5A63B161">
      <w:pPr>
        <w:numPr>
          <w:ilvl w:val="0"/>
          <w:numId w:val="0"/>
        </w:numPr>
        <w:snapToGrid w:val="0"/>
        <w:spacing w:beforeLines="0" w:afterLines="0" w:line="560" w:lineRule="exact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结合实际情况和评分标准，该专项资金使用过程中主要问题是申报项目实际进行</w:t>
      </w:r>
      <w:r>
        <w:rPr>
          <w:rFonts w:hint="eastAsia" w:ascii="仿宋_GB2312"/>
          <w:sz w:val="32"/>
          <w:szCs w:val="32"/>
          <w:lang w:val="en-US" w:eastAsia="zh-CN"/>
        </w:rPr>
        <w:t>已</w:t>
      </w:r>
      <w:r>
        <w:rPr>
          <w:rFonts w:hint="eastAsia" w:ascii="仿宋_GB2312" w:eastAsia="仿宋_GB2312"/>
          <w:sz w:val="32"/>
          <w:szCs w:val="32"/>
          <w:lang w:eastAsia="zh-CN"/>
        </w:rPr>
        <w:t>按绩效目标完成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无相关问题。</w:t>
      </w:r>
    </w:p>
    <w:p w14:paraId="203F6E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360" w:lineRule="auto"/>
        <w:ind w:firstLine="640" w:firstLineChars="200"/>
        <w:textAlignment w:val="auto"/>
        <w:outlineLvl w:val="9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 w14:paraId="533CEFC0">
      <w:pPr>
        <w:snapToGrid w:val="0"/>
        <w:spacing w:beforeLines="0" w:afterLines="0"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针对专项资金使用绩效存在的问题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有</w:t>
      </w:r>
      <w:r>
        <w:rPr>
          <w:rFonts w:hint="eastAsia" w:ascii="仿宋_GB2312" w:eastAsia="仿宋_GB2312"/>
          <w:sz w:val="32"/>
          <w:szCs w:val="32"/>
        </w:rPr>
        <w:t>完善意见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 w14:paraId="6D123B55">
      <w:pPr>
        <w:numPr>
          <w:ilvl w:val="-1"/>
          <w:numId w:val="0"/>
        </w:numPr>
        <w:snapToGrid w:val="0"/>
        <w:spacing w:beforeLines="0" w:afterLines="0"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申报项目时因充分了解当地政策，项目建设需办理手续，项目建设的生命周期，合理规划项目建设周期。不能盲目压缩建设时间。</w:t>
      </w:r>
    </w:p>
    <w:p w14:paraId="27DDB6A4">
      <w:pPr>
        <w:numPr>
          <w:ilvl w:val="-1"/>
          <w:numId w:val="0"/>
        </w:numPr>
        <w:snapToGrid w:val="0"/>
        <w:spacing w:beforeLines="0" w:afterLines="0"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建设过程中要加强进度、质量控制。通过周进度对比，月进度对比，及时进行纠偏。</w:t>
      </w:r>
    </w:p>
    <w:p w14:paraId="02189C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360" w:lineRule="auto"/>
        <w:ind w:firstLine="640" w:firstLineChars="200"/>
        <w:textAlignment w:val="auto"/>
        <w:outlineLvl w:val="9"/>
        <w:rPr>
          <w:rFonts w:hint="eastAsia" w:ascii="黑体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Times New Roman" w:eastAsia="黑体" w:cs="Times New Roman"/>
          <w:sz w:val="32"/>
          <w:szCs w:val="32"/>
          <w:lang w:eastAsia="zh-CN"/>
        </w:rPr>
        <w:t>四、到期拟延续计划</w:t>
      </w:r>
    </w:p>
    <w:bookmarkEnd w:id="1"/>
    <w:bookmarkEnd w:id="2"/>
    <w:bookmarkEnd w:id="3"/>
    <w:p w14:paraId="7F3782FB">
      <w:pPr>
        <w:widowControl w:val="0"/>
        <w:spacing w:line="36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cs="Times New Roman"/>
          <w:sz w:val="32"/>
          <w:szCs w:val="32"/>
          <w:lang w:val="en-US" w:eastAsia="zh-CN"/>
        </w:rPr>
        <w:t>无。</w:t>
      </w:r>
    </w:p>
    <w:p w14:paraId="3F9A154C"/>
    <w:sectPr>
      <w:pgSz w:w="11906" w:h="16838"/>
      <w:pgMar w:top="2041" w:right="1417" w:bottom="141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755F7E"/>
    <w:multiLevelType w:val="singleLevel"/>
    <w:tmpl w:val="72755F7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kOTEyZjkyN2Y5YTliMjAxMTJhZGQyYjEyMjljNjYifQ=="/>
    <w:docVar w:name="KGWebUrl" w:val="https://xtbgsafe.gdzwfw.gov.cn/rz_gdjytoa//newoa/missive/kinggridOfficeServer.do?method=officeProcess"/>
  </w:docVars>
  <w:rsids>
    <w:rsidRoot w:val="2ABF650E"/>
    <w:rsid w:val="04071455"/>
    <w:rsid w:val="0DDD3D4B"/>
    <w:rsid w:val="0F3A4549"/>
    <w:rsid w:val="10BD20D8"/>
    <w:rsid w:val="1FB423B2"/>
    <w:rsid w:val="229A4CCB"/>
    <w:rsid w:val="26D734F6"/>
    <w:rsid w:val="2ABF650E"/>
    <w:rsid w:val="369E3E1B"/>
    <w:rsid w:val="37633DBA"/>
    <w:rsid w:val="399F0E3F"/>
    <w:rsid w:val="3B6536D7"/>
    <w:rsid w:val="44D80FFA"/>
    <w:rsid w:val="4AEE60F8"/>
    <w:rsid w:val="76A27DBA"/>
    <w:rsid w:val="7FF7B622"/>
    <w:rsid w:val="DBBDAB10"/>
    <w:rsid w:val="EBFFB2CC"/>
    <w:rsid w:val="EEFD29F5"/>
    <w:rsid w:val="F5631FAB"/>
    <w:rsid w:val="F77D8061"/>
    <w:rsid w:val="F7DB00A7"/>
    <w:rsid w:val="FB7D54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_Style 5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customStyle="1" w:styleId="8">
    <w:name w:val="正文（缩进）"/>
    <w:basedOn w:val="1"/>
    <w:qFormat/>
    <w:uiPriority w:val="0"/>
    <w:pPr>
      <w:spacing w:before="156" w:beforeLines="50" w:after="156" w:afterLines="50" w:line="360" w:lineRule="auto"/>
      <w:ind w:firstLine="480" w:firstLineChars="200"/>
    </w:pPr>
    <w:rPr>
      <w:kern w:val="0"/>
      <w:sz w:val="24"/>
      <w:szCs w:val="20"/>
    </w:rPr>
  </w:style>
  <w:style w:type="paragraph" w:customStyle="1" w:styleId="9">
    <w:name w:val="正文首行缩进 21"/>
    <w:basedOn w:val="10"/>
    <w:qFormat/>
    <w:uiPriority w:val="0"/>
    <w:pPr>
      <w:spacing w:line="360" w:lineRule="auto"/>
    </w:pPr>
    <w:rPr>
      <w:rFonts w:eastAsia="宋体"/>
      <w:sz w:val="24"/>
    </w:rPr>
  </w:style>
  <w:style w:type="paragraph" w:customStyle="1" w:styleId="10">
    <w:name w:val="正文文本缩进1"/>
    <w:basedOn w:val="1"/>
    <w:qFormat/>
    <w:uiPriority w:val="0"/>
    <w:pPr>
      <w:spacing w:line="150" w:lineRule="atLeast"/>
      <w:ind w:firstLine="420" w:firstLine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1390</Words>
  <Characters>1485</Characters>
  <Lines>0</Lines>
  <Paragraphs>0</Paragraphs>
  <TotalTime>26</TotalTime>
  <ScaleCrop>false</ScaleCrop>
  <LinksUpToDate>false</LinksUpToDate>
  <CharactersWithSpaces>1536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2022-04-16T17:03:00Z</dcterms:created>
  <dc:creator>王小玉</dc:creator>
  <cp:lastModifiedBy>温毅波</cp:lastModifiedBy>
  <cp:lastPrinted>2025-04-08T10:19:00Z</cp:lastPrinted>
  <dcterms:modified xsi:type="dcterms:W3CDTF">2025-05-16T09:08:02Z</dcterms:modified>
  <dc:title>附件4-1：项目绩效自评报告（参考格式）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BD53C7D6E03E4872ADB55B0D67A5445C_13</vt:lpwstr>
  </property>
  <property fmtid="{D5CDD505-2E9C-101B-9397-08002B2CF9AE}" pid="4" name="ribbonExt">
    <vt:lpwstr>{"WPSExtOfficeTab":{"OnGetEnabled":false,"OnGetVisible":false}}</vt:lpwstr>
  </property>
  <property fmtid="{D5CDD505-2E9C-101B-9397-08002B2CF9AE}" pid="5" name="慧眼令牌">
    <vt:lpwstr>eyJraWQiOiJvYSIsInR5cCI6IkpXVCIsImFsZyI6IkhTMjU2In0.eyJzdWIiOiJPQS1MT0dJTiIsImNvcnBJZCI6IiIsIm1haW5BY2NvdW50IjoiIiwiaXNzIjoiRVhPQSIsIm9EZXB0IjoiIiwidXNlcklkIjoxNTM1MSwibURlcHQiOiIyNCzmlZnogrLnnaPlr7zlrqTvvIjnnIHmlL_lupzmlZnogrLnnaPlr7zlrqTvvIkiLCJuYmYiOjE3NDQ5MzMxMjcsIm5hbWUiOiLluoTpgIkiLCJleHAiOjIwNjAyOTY3MjcsImlhdCI6MTc0NDkzNjEyNywianRpIjoib2EiLCJhY2NvdW50Ijoiemh1YW5neCJ9.x3azvGOFI_g1I_ansh0fdglFEQwlozImu09rO6JgzK8</vt:lpwstr>
  </property>
  <property fmtid="{D5CDD505-2E9C-101B-9397-08002B2CF9AE}" pid="6" name="KSOTemplateDocerSaveRecord">
    <vt:lpwstr>eyJoZGlkIjoiODY4MDNjZTkyZGNjZmVkODhjOTVlNjRlMTlhYmYzMWYiLCJ1c2VySWQiOiI0NTM4OTU3NzMifQ==</vt:lpwstr>
  </property>
</Properties>
</file>