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AB5AC">
      <w:pPr>
        <w:adjustRightInd w:val="0"/>
        <w:snapToGrid w:val="0"/>
        <w:spacing w:line="240" w:lineRule="auto"/>
        <w:jc w:val="both"/>
        <w:rPr>
          <w:rFonts w:hint="default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附件4-1</w:t>
      </w:r>
    </w:p>
    <w:p w14:paraId="1ECEB6DB">
      <w:pPr>
        <w:adjustRightInd w:val="0"/>
        <w:snapToGrid w:val="0"/>
        <w:spacing w:line="1020" w:lineRule="exact"/>
        <w:ind w:left="2640" w:hanging="2640" w:hangingChars="600"/>
        <w:jc w:val="center"/>
        <w:rPr>
          <w:rFonts w:hint="default" w:ascii="Times New Roman" w:hAnsi="Times New Roman" w:eastAsia="黑体"/>
          <w:bCs/>
          <w:sz w:val="44"/>
          <w:szCs w:val="44"/>
          <w:lang w:val="en-US"/>
        </w:rPr>
      </w:pPr>
      <w:r>
        <w:rPr>
          <w:rFonts w:hint="eastAsia" w:eastAsia="黑体"/>
          <w:bCs/>
          <w:sz w:val="44"/>
          <w:szCs w:val="44"/>
          <w:lang w:val="en-US" w:eastAsia="zh-CN"/>
        </w:rPr>
        <w:t>职业教育扩提强项目</w:t>
      </w:r>
    </w:p>
    <w:p w14:paraId="62473811">
      <w:pPr>
        <w:adjustRightInd w:val="0"/>
        <w:snapToGrid w:val="0"/>
        <w:spacing w:line="1020" w:lineRule="exact"/>
        <w:jc w:val="center"/>
        <w:rPr>
          <w:rFonts w:hint="default" w:ascii="Times New Roman" w:hAnsi="Times New Roman" w:eastAsia="黑体"/>
          <w:sz w:val="44"/>
          <w:szCs w:val="44"/>
          <w:lang w:val="en-US" w:eastAsia="zh-CN"/>
        </w:rPr>
      </w:pPr>
      <w:r>
        <w:rPr>
          <w:rFonts w:hint="eastAsia" w:eastAsia="黑体"/>
          <w:bCs/>
          <w:sz w:val="44"/>
          <w:szCs w:val="44"/>
          <w:lang w:val="en-US" w:eastAsia="zh-CN"/>
        </w:rPr>
        <w:t>绩效自评</w:t>
      </w:r>
      <w:r>
        <w:rPr>
          <w:rFonts w:hint="eastAsia" w:ascii="Times New Roman" w:hAnsi="Times New Roman" w:eastAsia="黑体"/>
          <w:sz w:val="44"/>
          <w:szCs w:val="44"/>
          <w:lang w:val="en-US" w:eastAsia="zh-CN"/>
        </w:rPr>
        <w:t>报告</w:t>
      </w:r>
    </w:p>
    <w:p w14:paraId="4DEFA41D">
      <w:pPr>
        <w:spacing w:before="156" w:beforeLines="50" w:after="156" w:afterLines="50"/>
        <w:jc w:val="center"/>
        <w:rPr>
          <w:rFonts w:hint="eastAsia" w:ascii="Times New Roman" w:hAnsi="Times New Roman" w:eastAsia="黑体"/>
          <w:sz w:val="44"/>
          <w:szCs w:val="44"/>
        </w:rPr>
      </w:pPr>
    </w:p>
    <w:p w14:paraId="3104318F">
      <w:pPr>
        <w:spacing w:before="156" w:beforeLines="50" w:after="156" w:afterLines="50"/>
        <w:jc w:val="center"/>
        <w:rPr>
          <w:rFonts w:hint="eastAsia" w:ascii="Times New Roman" w:hAnsi="Times New Roman" w:eastAsia="黑体"/>
          <w:sz w:val="44"/>
          <w:szCs w:val="44"/>
        </w:rPr>
      </w:pPr>
    </w:p>
    <w:p w14:paraId="36E51E6B">
      <w:pPr>
        <w:spacing w:before="156" w:beforeLines="50" w:after="156" w:afterLines="50"/>
        <w:jc w:val="center"/>
        <w:rPr>
          <w:rFonts w:hint="eastAsia" w:ascii="Times New Roman" w:hAnsi="Times New Roman" w:eastAsia="黑体"/>
          <w:sz w:val="44"/>
          <w:szCs w:val="44"/>
        </w:rPr>
      </w:pPr>
    </w:p>
    <w:p w14:paraId="033F7768">
      <w:pPr>
        <w:pStyle w:val="3"/>
        <w:outlineLvl w:val="9"/>
        <w:rPr>
          <w:rFonts w:hint="eastAsia" w:ascii="Times New Roman" w:hAnsi="Times New Roman" w:eastAsia="黑体"/>
          <w:sz w:val="44"/>
          <w:szCs w:val="44"/>
        </w:rPr>
      </w:pPr>
    </w:p>
    <w:p w14:paraId="0CCF813E">
      <w:pPr>
        <w:pStyle w:val="3"/>
        <w:outlineLvl w:val="9"/>
        <w:rPr>
          <w:rFonts w:hint="eastAsia" w:ascii="Times New Roman" w:hAnsi="Times New Roman"/>
        </w:rPr>
      </w:pPr>
    </w:p>
    <w:p w14:paraId="6839B98D">
      <w:pPr>
        <w:rPr>
          <w:rFonts w:hint="eastAsia" w:ascii="Times New Roman" w:hAnsi="Times New Roman"/>
        </w:rPr>
      </w:pPr>
    </w:p>
    <w:p w14:paraId="623C49A5">
      <w:pPr>
        <w:pStyle w:val="3"/>
        <w:outlineLvl w:val="9"/>
        <w:rPr>
          <w:rFonts w:hint="eastAsia" w:ascii="Times New Roman" w:hAnsi="Times New Roman"/>
        </w:rPr>
      </w:pPr>
    </w:p>
    <w:p w14:paraId="07F58CEE">
      <w:pPr>
        <w:spacing w:before="156" w:beforeLines="50" w:after="156" w:afterLines="50"/>
        <w:jc w:val="center"/>
        <w:rPr>
          <w:rFonts w:hint="eastAsia" w:ascii="Times New Roman" w:hAnsi="Times New Roman" w:eastAsia="黑体"/>
          <w:sz w:val="44"/>
          <w:szCs w:val="44"/>
        </w:rPr>
      </w:pPr>
    </w:p>
    <w:p w14:paraId="56EA02AE">
      <w:pPr>
        <w:snapToGrid w:val="0"/>
        <w:spacing w:beforeLines="0" w:afterLines="0"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</w:rPr>
        <w:t xml:space="preserve">         </w:t>
      </w:r>
    </w:p>
    <w:p w14:paraId="48568388">
      <w:pPr>
        <w:pStyle w:val="7"/>
        <w:ind w:left="0" w:leftChars="0" w:firstLine="0" w:firstLineChars="0"/>
        <w:rPr>
          <w:rFonts w:hint="eastAsia" w:ascii="Times New Roman" w:hAnsi="Times New Roman" w:eastAsia="黑体"/>
          <w:sz w:val="44"/>
          <w:szCs w:val="44"/>
        </w:rPr>
      </w:pPr>
    </w:p>
    <w:p w14:paraId="7197B06B">
      <w:pPr>
        <w:snapToGrid w:val="0"/>
        <w:spacing w:line="360" w:lineRule="auto"/>
        <w:ind w:left="0" w:leftChars="0" w:firstLine="0" w:firstLineChars="0"/>
        <w:rPr>
          <w:rFonts w:hint="default" w:ascii="仿宋_GB2312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</w:rPr>
        <w:t xml:space="preserve">          部门名称：</w:t>
      </w:r>
      <w:r>
        <w:rPr>
          <w:rFonts w:hint="eastAsia" w:ascii="仿宋_GB2312" w:cs="Times New Roman"/>
          <w:color w:val="auto"/>
          <w:sz w:val="32"/>
          <w:szCs w:val="32"/>
          <w:highlight w:val="none"/>
          <w:lang w:val="en-US" w:eastAsia="zh-CN"/>
        </w:rPr>
        <w:t>广东轻工职业技术大学</w:t>
      </w:r>
    </w:p>
    <w:p w14:paraId="22D307AE">
      <w:pPr>
        <w:snapToGrid w:val="0"/>
        <w:spacing w:line="360" w:lineRule="auto"/>
        <w:rPr>
          <w:rFonts w:hint="default" w:ascii="仿宋_GB2312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</w:rPr>
        <w:t xml:space="preserve">          填报人：</w:t>
      </w:r>
      <w:r>
        <w:rPr>
          <w:rFonts w:hint="eastAsia" w:ascii="仿宋_GB2312" w:cs="Times New Roman"/>
          <w:color w:val="auto"/>
          <w:sz w:val="32"/>
          <w:szCs w:val="32"/>
          <w:highlight w:val="none"/>
          <w:lang w:val="en-US" w:eastAsia="zh-CN"/>
        </w:rPr>
        <w:t>温毅波</w:t>
      </w:r>
    </w:p>
    <w:p w14:paraId="160971C3">
      <w:pPr>
        <w:snapToGrid w:val="0"/>
        <w:spacing w:line="360" w:lineRule="auto"/>
        <w:rPr>
          <w:rFonts w:hint="default" w:ascii="仿宋_GB2312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</w:rPr>
        <w:t xml:space="preserve">          联系电话：</w:t>
      </w:r>
      <w:r>
        <w:rPr>
          <w:rFonts w:hint="eastAsia" w:ascii="仿宋_GB2312" w:cs="Times New Roman"/>
          <w:color w:val="auto"/>
          <w:sz w:val="32"/>
          <w:szCs w:val="32"/>
          <w:highlight w:val="none"/>
          <w:lang w:val="en-US" w:eastAsia="zh-CN"/>
        </w:rPr>
        <w:t>13828423656</w:t>
      </w:r>
    </w:p>
    <w:p w14:paraId="6D5D626D">
      <w:pPr>
        <w:snapToGrid w:val="0"/>
        <w:spacing w:line="360" w:lineRule="auto"/>
        <w:rPr>
          <w:rFonts w:hint="default" w:eastAsia="仿宋_GB2312"/>
          <w:lang w:val="en-US" w:eastAsia="zh-CN"/>
        </w:rPr>
        <w:sectPr>
          <w:pgSz w:w="11906" w:h="16838"/>
          <w:pgMar w:top="2041" w:right="1417" w:bottom="1417" w:left="1531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</w:rPr>
        <w:t xml:space="preserve">          填报日期</w:t>
      </w:r>
      <w:bookmarkStart w:id="0" w:name="_Toc21411"/>
      <w:r>
        <w:rPr>
          <w:rFonts w:hint="eastAsia" w:ascii="仿宋_GB2312" w:cs="Times New Roman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cs="Times New Roman"/>
          <w:color w:val="auto"/>
          <w:sz w:val="32"/>
          <w:szCs w:val="32"/>
          <w:highlight w:val="none"/>
          <w:lang w:val="en-US" w:eastAsia="zh-CN"/>
        </w:rPr>
        <w:t>2025年5月14日</w:t>
      </w:r>
    </w:p>
    <w:bookmarkEnd w:id="0"/>
    <w:p w14:paraId="2376B101"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bookmarkStart w:id="1" w:name="_Toc27308"/>
      <w:bookmarkStart w:id="2" w:name="_Toc6861"/>
      <w:bookmarkStart w:id="3" w:name="_Toc30733"/>
      <w:r>
        <w:rPr>
          <w:rFonts w:hint="eastAsia" w:ascii="黑体" w:eastAsia="黑体"/>
          <w:sz w:val="32"/>
          <w:szCs w:val="32"/>
        </w:rPr>
        <w:t>一、基本情况</w:t>
      </w:r>
    </w:p>
    <w:p w14:paraId="4B30314B">
      <w:pPr>
        <w:snapToGrid w:val="0"/>
        <w:spacing w:beforeLines="0" w:afterLines="0"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学校</w:t>
      </w:r>
      <w:r>
        <w:rPr>
          <w:rFonts w:hint="eastAsia" w:ascii="仿宋_GB2312"/>
          <w:sz w:val="32"/>
          <w:szCs w:val="32"/>
          <w:lang w:val="en-US" w:eastAsia="zh-CN"/>
        </w:rPr>
        <w:t>2021-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</w:t>
      </w:r>
      <w:r>
        <w:rPr>
          <w:rFonts w:hint="eastAsia" w:ascii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年收到</w:t>
      </w:r>
      <w:r>
        <w:rPr>
          <w:rFonts w:hint="eastAsia" w:ascii="仿宋_GB2312"/>
          <w:sz w:val="32"/>
          <w:szCs w:val="32"/>
          <w:lang w:val="en-US" w:eastAsia="zh-CN"/>
        </w:rPr>
        <w:t>高职提水平专项资金共计15591.41万元，其中中职强发展奖补资金429.41万元，主要用于中高集团办学软硬件设施改造方面；</w:t>
      </w:r>
      <w:r>
        <w:rPr>
          <w:rFonts w:hint="eastAsia" w:ascii="仿宋_GB2312" w:eastAsia="仿宋_GB2312"/>
          <w:sz w:val="32"/>
          <w:szCs w:val="32"/>
        </w:rPr>
        <w:t>高职院校“创新强校工程”奖补资金</w:t>
      </w:r>
      <w:r>
        <w:rPr>
          <w:rFonts w:hint="eastAsia" w:ascii="仿宋_GB2312"/>
          <w:sz w:val="32"/>
          <w:szCs w:val="32"/>
          <w:lang w:val="en-US" w:eastAsia="zh-CN"/>
        </w:rPr>
        <w:t>5662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</w:t>
      </w:r>
      <w:r>
        <w:rPr>
          <w:rFonts w:hint="eastAsia" w:ascii="仿宋_GB2312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用于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完成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“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体制机制改革与协同创新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”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“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高水平高职院校和品牌专业建设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”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等</w:t>
      </w:r>
      <w:r>
        <w:rPr>
          <w:rFonts w:hint="eastAsia" w:ascii="仿宋_GB2312" w:eastAsia="仿宋_GB2312"/>
          <w:color w:val="auto"/>
          <w:sz w:val="32"/>
          <w:szCs w:val="32"/>
        </w:rPr>
        <w:t>39个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项目的建设，</w:t>
      </w:r>
      <w:r>
        <w:rPr>
          <w:rFonts w:hint="eastAsia" w:ascii="仿宋_GB2312" w:eastAsia="仿宋_GB2312"/>
          <w:color w:val="auto"/>
          <w:sz w:val="32"/>
          <w:szCs w:val="32"/>
        </w:rPr>
        <w:t>完善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学校的</w:t>
      </w:r>
      <w:r>
        <w:rPr>
          <w:rFonts w:hint="eastAsia" w:ascii="仿宋_GB2312" w:eastAsia="仿宋_GB2312"/>
          <w:color w:val="auto"/>
          <w:sz w:val="32"/>
          <w:szCs w:val="32"/>
        </w:rPr>
        <w:t>教学条件及资源</w:t>
      </w:r>
      <w:r>
        <w:rPr>
          <w:rFonts w:hint="eastAsia" w:ascii="仿宋_GB2312"/>
          <w:color w:val="auto"/>
          <w:sz w:val="32"/>
          <w:szCs w:val="32"/>
          <w:lang w:eastAsia="zh-CN"/>
        </w:rPr>
        <w:t>、增加实验实训设备、完善信息化基础服务，提高信息化应用支撑能力、提高师资队伍建设水平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国家“双高计划”省财政支持资金</w:t>
      </w:r>
      <w:r>
        <w:rPr>
          <w:rFonts w:hint="eastAsia" w:ascii="仿宋_GB2312"/>
          <w:sz w:val="32"/>
          <w:szCs w:val="32"/>
          <w:lang w:val="en-US" w:eastAsia="zh-CN"/>
        </w:rPr>
        <w:t>9500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</w:t>
      </w:r>
      <w:r>
        <w:rPr>
          <w:rFonts w:hint="eastAsia" w:ascii="仿宋_GB2312"/>
          <w:sz w:val="32"/>
          <w:szCs w:val="32"/>
          <w:lang w:val="en-US" w:eastAsia="zh-CN"/>
        </w:rPr>
        <w:t>，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完成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学校</w:t>
      </w:r>
      <w:r>
        <w:rPr>
          <w:rFonts w:hint="eastAsia" w:ascii="仿宋_GB2312"/>
          <w:sz w:val="32"/>
          <w:szCs w:val="32"/>
          <w:lang w:val="en-US" w:eastAsia="zh-CN"/>
        </w:rPr>
        <w:t>2019-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年度“双高”计划建设任务，学校持续开展高水平实训基地和技术技能创新服务平台建设项目，打造校企多元协同育人平台，提升校企合作水平。加强双师队伍建设，打造高水平专业群，提高院校治理水平。打造智慧型社会服务平台和终身教育课程库建设，提高学校优质教学资源的覆盖面，完善复合型技术技能人才培养机制，建设一流的国际化人才培养高地。</w:t>
      </w:r>
      <w:r>
        <w:rPr>
          <w:rFonts w:hint="eastAsia" w:ascii="仿宋_GB2312"/>
          <w:sz w:val="32"/>
          <w:szCs w:val="32"/>
          <w:lang w:val="en-US" w:eastAsia="zh-CN"/>
        </w:rPr>
        <w:t>国家双高中期、终期验收考核优秀。</w:t>
      </w:r>
    </w:p>
    <w:p w14:paraId="0BC68710"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 w14:paraId="275B9943">
      <w:pPr>
        <w:snapToGrid w:val="0"/>
        <w:spacing w:beforeLines="0" w:afterLines="0"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（一）自评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结论</w:t>
      </w:r>
    </w:p>
    <w:p w14:paraId="5E3F8583">
      <w:pPr>
        <w:snapToGrid w:val="0"/>
        <w:spacing w:beforeLines="0" w:afterLines="0" w:line="360" w:lineRule="auto"/>
        <w:ind w:firstLine="640" w:firstLineChars="200"/>
        <w:rPr>
          <w:rFonts w:hint="default" w:ascii="楷体" w:hAnsi="楷体" w:eastAsia="楷体" w:cs="楷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自评分99.96。其中，决策自评分20，过程自评分19.96，效益自评分60。</w:t>
      </w:r>
      <w:bookmarkStart w:id="13" w:name="_GoBack"/>
      <w:bookmarkEnd w:id="13"/>
    </w:p>
    <w:p w14:paraId="2C6B1B81">
      <w:pPr>
        <w:snapToGrid w:val="0"/>
        <w:spacing w:beforeLines="0" w:afterLines="0"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（二）资金使用绩效</w:t>
      </w:r>
    </w:p>
    <w:p w14:paraId="01379E59"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1.资金支出情况。</w:t>
      </w:r>
    </w:p>
    <w:p w14:paraId="09C415CF">
      <w:pPr>
        <w:snapToGrid w:val="0"/>
        <w:spacing w:beforeLines="0" w:afterLines="0"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中职强发展专项资金429.41万元，资金使用率100%；</w:t>
      </w:r>
      <w:r>
        <w:rPr>
          <w:rFonts w:hint="eastAsia" w:ascii="仿宋_GB2312" w:eastAsia="仿宋_GB2312"/>
          <w:sz w:val="32"/>
          <w:szCs w:val="32"/>
        </w:rPr>
        <w:t>高职院校“创新强校工程”奖补资金</w:t>
      </w:r>
      <w:r>
        <w:rPr>
          <w:rFonts w:hint="eastAsia" w:ascii="仿宋_GB2312"/>
          <w:sz w:val="32"/>
          <w:szCs w:val="32"/>
          <w:lang w:val="en-US" w:eastAsia="zh-CN"/>
        </w:rPr>
        <w:t>5662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</w:t>
      </w:r>
      <w:r>
        <w:rPr>
          <w:rFonts w:hint="eastAsia" w:ascii="仿宋_GB2312"/>
          <w:sz w:val="32"/>
          <w:szCs w:val="32"/>
          <w:lang w:val="en-US" w:eastAsia="zh-CN"/>
        </w:rPr>
        <w:t>，2021-2024年使用率100%；</w:t>
      </w:r>
      <w:r>
        <w:rPr>
          <w:rFonts w:hint="eastAsia" w:ascii="仿宋_GB2312" w:eastAsia="仿宋_GB2312"/>
          <w:sz w:val="32"/>
          <w:szCs w:val="32"/>
        </w:rPr>
        <w:t>国家“双高计划”省财政支持资金</w:t>
      </w:r>
      <w:r>
        <w:rPr>
          <w:rFonts w:hint="eastAsia" w:ascii="仿宋_GB2312"/>
          <w:sz w:val="32"/>
          <w:szCs w:val="32"/>
          <w:lang w:val="en-US" w:eastAsia="zh-CN"/>
        </w:rPr>
        <w:t>9500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</w:t>
      </w:r>
      <w:r>
        <w:rPr>
          <w:rFonts w:hint="eastAsia" w:ascii="仿宋_GB2312"/>
          <w:sz w:val="32"/>
          <w:szCs w:val="32"/>
          <w:lang w:val="en-US" w:eastAsia="zh-CN"/>
        </w:rPr>
        <w:t>资金使用率100%。</w:t>
      </w:r>
    </w:p>
    <w:p w14:paraId="1F78522A"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2.资金完成绩效目标情况。</w:t>
      </w:r>
    </w:p>
    <w:p w14:paraId="335FB303">
      <w:pPr>
        <w:snapToGrid w:val="0"/>
        <w:spacing w:beforeLines="0" w:afterLines="0" w:line="360" w:lineRule="auto"/>
        <w:ind w:firstLine="640" w:firstLineChars="200"/>
        <w:rPr>
          <w:rFonts w:hint="eastAsia" w:ascii="仿宋_GB2312" w:hAnsi="Times New Roman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1、中职强发展，经自评，</w:t>
      </w:r>
      <w:r>
        <w:rPr>
          <w:rFonts w:hint="default" w:ascii="仿宋_GB2312" w:hAnsi="Times New Roman" w:eastAsia="仿宋_GB2312" w:cs="Times New Roman"/>
          <w:b w:val="0"/>
          <w:bCs w:val="0"/>
          <w:sz w:val="32"/>
          <w:szCs w:val="32"/>
          <w:lang w:eastAsia="zh-CN"/>
        </w:rPr>
        <w:t>学校高质量完成了</w:t>
      </w:r>
      <w:r>
        <w:rPr>
          <w:rFonts w:hint="eastAsia" w:ascii="仿宋_GB2312" w:hAnsi="Times New Roman" w:cs="Times New Roman"/>
          <w:b w:val="0"/>
          <w:bCs w:val="0"/>
          <w:sz w:val="32"/>
          <w:szCs w:val="32"/>
          <w:lang w:val="en-US" w:eastAsia="zh-CN"/>
        </w:rPr>
        <w:t>中高集团办学既定规划任务，中职教师高效融入高职办学，中职校区软硬件设施得到有效改善，中高集团办学水平得到有效提升。</w:t>
      </w:r>
    </w:p>
    <w:p w14:paraId="1D92A842">
      <w:pPr>
        <w:snapToGrid w:val="0"/>
        <w:spacing w:beforeLines="0" w:afterLines="0" w:line="360" w:lineRule="auto"/>
        <w:ind w:firstLine="640" w:firstLineChars="200"/>
        <w:rPr>
          <w:rFonts w:hint="default" w:ascii="仿宋_GB2312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、“创新强校”。</w:t>
      </w:r>
      <w:r>
        <w:rPr>
          <w:rFonts w:hint="default" w:ascii="仿宋_GB2312" w:hAnsi="Times New Roman" w:eastAsia="仿宋_GB2312" w:cs="Times New Roman"/>
          <w:b w:val="0"/>
          <w:bCs w:val="0"/>
          <w:sz w:val="32"/>
          <w:szCs w:val="32"/>
          <w:lang w:eastAsia="zh-CN"/>
        </w:rPr>
        <w:t>经自评，学校高质量完成了</w:t>
      </w: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lang w:val="en-US" w:eastAsia="zh-CN"/>
        </w:rPr>
        <w:t>“创新强校”建设</w:t>
      </w:r>
      <w:r>
        <w:rPr>
          <w:rFonts w:hint="default" w:ascii="仿宋_GB2312" w:hAnsi="Times New Roman" w:eastAsia="仿宋_GB2312" w:cs="Times New Roman"/>
          <w:b w:val="0"/>
          <w:bCs w:val="0"/>
          <w:sz w:val="32"/>
          <w:szCs w:val="32"/>
          <w:lang w:eastAsia="zh-CN"/>
        </w:rPr>
        <w:t>目标任务，如期实现预期总体目标。学校推进</w:t>
      </w: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lang w:eastAsia="zh-CN"/>
        </w:rPr>
        <w:t>“</w:t>
      </w:r>
      <w:r>
        <w:rPr>
          <w:rFonts w:hint="default" w:ascii="仿宋_GB2312" w:hAnsi="Times New Roman" w:eastAsia="仿宋_GB2312" w:cs="Times New Roman"/>
          <w:b w:val="0"/>
          <w:bCs w:val="0"/>
          <w:sz w:val="32"/>
          <w:szCs w:val="32"/>
          <w:lang w:eastAsia="zh-CN"/>
        </w:rPr>
        <w:t>体制机制改革与协同创新</w:t>
      </w: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lang w:eastAsia="zh-CN"/>
        </w:rPr>
        <w:t>”</w:t>
      </w:r>
      <w:r>
        <w:rPr>
          <w:rFonts w:hint="default" w:ascii="仿宋_GB2312" w:hAnsi="Times New Roman" w:eastAsia="仿宋_GB2312" w:cs="Times New Roman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lang w:eastAsia="zh-CN"/>
        </w:rPr>
        <w:t>“</w:t>
      </w:r>
      <w:r>
        <w:rPr>
          <w:rFonts w:hint="default" w:ascii="仿宋_GB2312" w:hAnsi="Times New Roman" w:eastAsia="仿宋_GB2312" w:cs="Times New Roman"/>
          <w:b w:val="0"/>
          <w:bCs w:val="0"/>
          <w:sz w:val="32"/>
          <w:szCs w:val="32"/>
          <w:lang w:eastAsia="zh-CN"/>
        </w:rPr>
        <w:t>高水平高职院校和品牌专业建设</w:t>
      </w: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lang w:eastAsia="zh-CN"/>
        </w:rPr>
        <w:t>”</w:t>
      </w:r>
      <w:r>
        <w:rPr>
          <w:rFonts w:hint="default" w:ascii="仿宋_GB2312" w:hAnsi="Times New Roman" w:eastAsia="仿宋_GB2312" w:cs="Times New Roman"/>
          <w:b w:val="0"/>
          <w:bCs w:val="0"/>
          <w:sz w:val="32"/>
          <w:szCs w:val="32"/>
          <w:lang w:eastAsia="zh-CN"/>
        </w:rPr>
        <w:t>等39个项目的建设，教育教学改革、教师队伍建设、学生发展、科研与社会服务、对外合作与交流等均保持领先水平，学校核心竞争力、影响力、吸引力、贡献力显著提升，《中国职业教育质量年度报告》显示，学校上榜高职院校教师发展指数100所优秀学校、学生发展指数100所优秀院校、资源建设优势学校、服务贡献典型学校、人才培养和服务贡献卓越高等职业学校等榜单；在金平果榜、GDI两大高职第三方排行榜中均居全国第三，金平果2023高职专业排行榜显示，学校专业整体实力排名全国第二。</w:t>
      </w:r>
    </w:p>
    <w:p w14:paraId="5F531452">
      <w:pPr>
        <w:snapToGrid w:val="0"/>
        <w:spacing w:beforeLines="0" w:afterLines="0" w:line="360" w:lineRule="auto"/>
        <w:ind w:firstLine="640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仿宋_GB2312" w:hAnsi="Times New Roman" w:cs="Times New Roman"/>
          <w:b w:val="0"/>
          <w:bCs w:val="0"/>
          <w:sz w:val="32"/>
          <w:szCs w:val="32"/>
          <w:lang w:val="en-US" w:eastAsia="zh-CN"/>
        </w:rPr>
        <w:t>3、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“双高建设”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建设方面，</w:t>
      </w:r>
      <w:r>
        <w:rPr>
          <w:rFonts w:hint="default" w:ascii="仿宋_GB2312" w:hAnsi="Times New Roman" w:eastAsia="仿宋_GB2312" w:cs="Times New Roman"/>
          <w:b w:val="0"/>
          <w:bCs w:val="0"/>
          <w:sz w:val="32"/>
          <w:szCs w:val="32"/>
          <w:lang w:eastAsia="zh-CN"/>
        </w:rPr>
        <w:t>经自评，学校高质量完成了</w:t>
      </w: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  <w:lang w:val="en-US" w:eastAsia="zh-CN"/>
        </w:rPr>
        <w:t>“双高”计划建设</w:t>
      </w:r>
      <w:r>
        <w:rPr>
          <w:rFonts w:hint="default" w:ascii="仿宋_GB2312" w:hAnsi="Times New Roman" w:eastAsia="仿宋_GB2312" w:cs="Times New Roman"/>
          <w:b w:val="0"/>
          <w:bCs w:val="0"/>
          <w:sz w:val="32"/>
          <w:szCs w:val="32"/>
          <w:lang w:eastAsia="zh-CN"/>
        </w:rPr>
        <w:t>目标任务，如期实现预期总体目标。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学校当年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“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双高计划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”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任务完成率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及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5年任务总体完成率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均达100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%。</w:t>
      </w:r>
    </w:p>
    <w:p w14:paraId="7C9EB472"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3.资金分用途使用绩效。</w:t>
      </w:r>
    </w:p>
    <w:p w14:paraId="4D87877C"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</w:t>
      </w:r>
      <w:r>
        <w:rPr>
          <w:rFonts w:hint="eastAsia" w:ascii="仿宋_GB2312"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）集团办学资金”使用绩效。</w:t>
      </w:r>
    </w:p>
    <w:p w14:paraId="3CA100F2"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中高集团办学并入相关资金，延续使用用途，主要用于中职校区的教学场地维修改造和学生宿舍用品的更新等。相关项目均于当年完成，有效提升中职校区办学基础条件。</w:t>
      </w:r>
    </w:p>
    <w:p w14:paraId="2F709EF1"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(</w:t>
      </w:r>
      <w:r>
        <w:rPr>
          <w:rFonts w:hint="eastAsia" w:ascii="仿宋_GB2312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）“创强奖补资金”使用绩效。</w:t>
      </w:r>
    </w:p>
    <w:p w14:paraId="01C860AA">
      <w:pPr>
        <w:widowControl/>
        <w:numPr>
          <w:ilvl w:val="0"/>
          <w:numId w:val="0"/>
        </w:numPr>
        <w:bidi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（1）深化党建“双创”工作和“对标争先”，建成广东省首批“党建双创示范校”（广东省高职唯一），获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国家级党建“双创”项目4个</w:t>
      </w:r>
      <w:r>
        <w:rPr>
          <w:rFonts w:hint="eastAsia" w:ascii="仿宋_GB2312"/>
          <w:b w:val="0"/>
          <w:bCs w:val="0"/>
          <w:sz w:val="32"/>
          <w:szCs w:val="32"/>
          <w:highlight w:val="none"/>
          <w:lang w:val="en-US" w:eastAsia="zh-CN"/>
        </w:rPr>
        <w:t>以上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、省级“双创”项目7个</w:t>
      </w:r>
      <w:r>
        <w:rPr>
          <w:rFonts w:hint="eastAsia" w:ascii="仿宋_GB2312"/>
          <w:b w:val="0"/>
          <w:bCs w:val="0"/>
          <w:sz w:val="32"/>
          <w:szCs w:val="32"/>
          <w:highlight w:val="none"/>
          <w:lang w:val="en-US" w:eastAsia="zh-CN"/>
        </w:rPr>
        <w:t>以上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、省级“双带头人”教师党支部书记工作室2个</w:t>
      </w:r>
      <w:r>
        <w:rPr>
          <w:rFonts w:hint="eastAsia" w:ascii="仿宋_GB2312"/>
          <w:b w:val="0"/>
          <w:bCs w:val="0"/>
          <w:sz w:val="32"/>
          <w:szCs w:val="32"/>
          <w:highlight w:val="none"/>
          <w:lang w:val="en-US" w:eastAsia="zh-CN"/>
        </w:rPr>
        <w:t>以上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，校级基层组织达标创优100%全覆盖。</w:t>
      </w:r>
    </w:p>
    <w:p w14:paraId="0BEFAD86">
      <w:pPr>
        <w:keepNext w:val="0"/>
        <w:keepLines w:val="0"/>
        <w:widowControl/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bookmarkStart w:id="4" w:name="_Toc12983"/>
      <w:bookmarkStart w:id="5" w:name="_Toc8562"/>
      <w:bookmarkStart w:id="6" w:name="_Toc21241"/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（2） 打造产教科联合中心，助力校企融合发展</w:t>
      </w:r>
      <w:bookmarkEnd w:id="4"/>
      <w:bookmarkEnd w:id="5"/>
      <w:bookmarkEnd w:id="6"/>
    </w:p>
    <w:p w14:paraId="5741F4F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学校协调外部关系、整合内部资源，打造了产教科联合中心，将人才培养、教师专业发展、科技创新、学生实训实习、创新创业等功能有机结合，促进产教科有效融合，提升了学校人才培养水平和社会服务能力。</w:t>
      </w:r>
    </w:p>
    <w:p w14:paraId="42BD0CAF">
      <w:pPr>
        <w:keepNext w:val="0"/>
        <w:keepLines w:val="0"/>
        <w:widowControl/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bookmarkStart w:id="7" w:name="_Toc4893"/>
      <w:bookmarkStart w:id="8" w:name="_Toc12158"/>
      <w:bookmarkStart w:id="9" w:name="_Toc14379"/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（3）打造广轻双创教育体系</w:t>
      </w:r>
      <w:bookmarkEnd w:id="7"/>
      <w:bookmarkEnd w:id="8"/>
      <w:bookmarkEnd w:id="9"/>
    </w:p>
    <w:p w14:paraId="32B190BA">
      <w:pPr>
        <w:widowControl/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一是科研体系对接双创教学体系。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学校创新创业体系成果丰硕。累计已获</w:t>
      </w: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国家级教学成果二等奖4项</w:t>
      </w:r>
      <w:r>
        <w:rPr>
          <w:rFonts w:hint="eastAsia" w:ascii="仿宋_GB2312"/>
          <w:b w:val="0"/>
          <w:bCs w:val="0"/>
          <w:sz w:val="32"/>
          <w:szCs w:val="32"/>
          <w:highlight w:val="none"/>
          <w:lang w:val="en-US" w:eastAsia="zh-CN"/>
        </w:rPr>
        <w:t>以上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；教学改革项目162项</w:t>
      </w:r>
      <w:r>
        <w:rPr>
          <w:rFonts w:hint="eastAsia" w:ascii="仿宋_GB2312"/>
          <w:b w:val="0"/>
          <w:bCs w:val="0"/>
          <w:sz w:val="32"/>
          <w:szCs w:val="32"/>
          <w:highlight w:val="none"/>
          <w:lang w:val="en-US" w:eastAsia="zh-CN"/>
        </w:rPr>
        <w:t>以上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，其中</w:t>
      </w: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国家级3项、省级52项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；发表学术论文184篇</w:t>
      </w:r>
      <w:r>
        <w:rPr>
          <w:rFonts w:hint="eastAsia" w:ascii="仿宋_GB2312"/>
          <w:b w:val="0"/>
          <w:bCs w:val="0"/>
          <w:sz w:val="32"/>
          <w:szCs w:val="32"/>
          <w:highlight w:val="none"/>
          <w:lang w:val="en-US" w:eastAsia="zh-CN"/>
        </w:rPr>
        <w:t>以上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；主编双创类教材3本</w:t>
      </w:r>
      <w:r>
        <w:rPr>
          <w:rFonts w:hint="eastAsia" w:ascii="仿宋_GB2312"/>
          <w:b w:val="0"/>
          <w:bCs w:val="0"/>
          <w:sz w:val="32"/>
          <w:szCs w:val="32"/>
          <w:highlight w:val="none"/>
          <w:lang w:val="en-US" w:eastAsia="zh-CN"/>
        </w:rPr>
        <w:t>以上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，其中《创新创业教育》入选“十三五”国家规划教材；《创新创业教育》课程获省级金课；创业典型经验集体获省级一等奖；入选教育部双创教指委教育特色典型案例；被授予广东省大学生创新创业教育示范学校。学生获“互联网+”大学生创新创业大赛国赛</w:t>
      </w:r>
      <w:r>
        <w:rPr>
          <w:rFonts w:hint="eastAsia" w:ascii="仿宋_GB2312" w:hAnsi="Times New Roman" w:cs="Times New Roman"/>
          <w:kern w:val="2"/>
          <w:sz w:val="32"/>
          <w:szCs w:val="32"/>
          <w:highlight w:val="none"/>
          <w:lang w:val="en-US" w:eastAsia="zh-CN" w:bidi="ar-SA"/>
        </w:rPr>
        <w:t>多项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金奖，“互联网+”“挑战杯”国赛银奖、铜奖等12项</w:t>
      </w:r>
      <w:r>
        <w:rPr>
          <w:rFonts w:hint="eastAsia" w:ascii="仿宋_GB2312" w:hAnsi="Times New Roman" w:cs="Times New Roman"/>
          <w:kern w:val="2"/>
          <w:sz w:val="32"/>
          <w:szCs w:val="32"/>
          <w:highlight w:val="none"/>
          <w:lang w:val="en-US" w:eastAsia="zh-CN" w:bidi="ar-SA"/>
        </w:rPr>
        <w:t>以上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，近三年“互联网+”国赛成绩位列进第一梯队，并列全国</w:t>
      </w:r>
      <w:r>
        <w:rPr>
          <w:rFonts w:hint="eastAsia" w:ascii="仿宋_GB2312" w:hAnsi="Times New Roman" w:cs="Times New Roman"/>
          <w:kern w:val="2"/>
          <w:sz w:val="32"/>
          <w:szCs w:val="32"/>
          <w:highlight w:val="none"/>
          <w:lang w:val="en-US" w:eastAsia="zh-CN" w:bidi="ar-SA"/>
        </w:rPr>
        <w:t>前茅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；广东省科技创新战略专项资金（攀登计划）重点项目</w:t>
      </w:r>
      <w:r>
        <w:rPr>
          <w:rFonts w:hint="eastAsia" w:ascii="仿宋_GB2312" w:hAnsi="Times New Roman" w:cs="Times New Roman"/>
          <w:kern w:val="2"/>
          <w:sz w:val="32"/>
          <w:szCs w:val="32"/>
          <w:highlight w:val="none"/>
          <w:lang w:val="en-US" w:eastAsia="zh-CN" w:bidi="ar-SA"/>
        </w:rPr>
        <w:t>超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7项、一般项目</w:t>
      </w:r>
      <w:r>
        <w:rPr>
          <w:rFonts w:hint="eastAsia" w:ascii="仿宋_GB2312" w:hAnsi="Times New Roman" w:cs="Times New Roman"/>
          <w:kern w:val="2"/>
          <w:sz w:val="32"/>
          <w:szCs w:val="32"/>
          <w:highlight w:val="none"/>
          <w:lang w:val="en-US" w:eastAsia="zh-CN" w:bidi="ar-SA"/>
        </w:rPr>
        <w:t>超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37项；学校精致育人创业训练项目</w:t>
      </w:r>
      <w:r>
        <w:rPr>
          <w:rFonts w:hint="eastAsia" w:ascii="仿宋_GB2312" w:hAnsi="Times New Roman" w:cs="Times New Roman"/>
          <w:kern w:val="2"/>
          <w:sz w:val="32"/>
          <w:szCs w:val="32"/>
          <w:highlight w:val="none"/>
          <w:lang w:val="en-US" w:eastAsia="zh-CN" w:bidi="ar-SA"/>
        </w:rPr>
        <w:t>超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92项，大学生创新科研项目</w:t>
      </w:r>
      <w:r>
        <w:rPr>
          <w:rFonts w:hint="eastAsia" w:ascii="仿宋_GB2312" w:hAnsi="Times New Roman" w:cs="Times New Roman"/>
          <w:kern w:val="2"/>
          <w:sz w:val="32"/>
          <w:szCs w:val="32"/>
          <w:highlight w:val="none"/>
          <w:lang w:val="en-US" w:eastAsia="zh-CN" w:bidi="ar-SA"/>
        </w:rPr>
        <w:t>超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120项；校内创新创业实践基地入驻企业和项目超过</w:t>
      </w:r>
      <w:r>
        <w:rPr>
          <w:rFonts w:hint="eastAsia" w:ascii="仿宋_GB2312" w:hAnsi="Times New Roman" w:cs="Times New Roman"/>
          <w:kern w:val="2"/>
          <w:sz w:val="32"/>
          <w:szCs w:val="32"/>
          <w:highlight w:val="none"/>
          <w:lang w:val="en-US" w:eastAsia="zh-CN" w:bidi="ar-SA"/>
        </w:rPr>
        <w:t>超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50家，成功孵化“印萌科技”“蜂王人力”等知名企业。</w:t>
      </w:r>
    </w:p>
    <w:p w14:paraId="55D124E4">
      <w:pPr>
        <w:keepNext w:val="0"/>
        <w:keepLines w:val="0"/>
        <w:widowControl/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bookmarkStart w:id="10" w:name="_Toc32113"/>
      <w:bookmarkStart w:id="11" w:name="_Toc18017"/>
      <w:bookmarkStart w:id="12" w:name="_Toc2037"/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（4）大力开展教育新基建，校园信息化迈向新台阶</w:t>
      </w:r>
      <w:bookmarkEnd w:id="10"/>
      <w:bookmarkEnd w:id="11"/>
      <w:bookmarkEnd w:id="12"/>
    </w:p>
    <w:p w14:paraId="025C3C8B">
      <w:pPr>
        <w:widowControl/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聚焦突破“推动职业教育数字化升级”，广东轻工职业技术学院作出“三大一强”教育信息化战略部署，重点打造了以“广轻智慧校园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3.0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”平台为核心、100间规模化建设智慧课室为重要组成部分的广轻教育新基建。学校信息化建设</w:t>
      </w:r>
      <w:r>
        <w:rPr>
          <w:rFonts w:hint="eastAsia" w:ascii="仿宋_GB2312" w:eastAsia="仿宋_GB2312"/>
          <w:sz w:val="32"/>
          <w:szCs w:val="32"/>
          <w:highlight w:val="none"/>
        </w:rPr>
        <w:t>从“基础网络+主要业务应用”的1.0、“无线全覆盖+全业务应用”的2.0，发展到了“智慧化环境+标准一体的全业务重构”的3.0阶段，引领高职教育信息化，支撑学校打造现代院校治理高地。</w:t>
      </w:r>
    </w:p>
    <w:p w14:paraId="56F8EEF1">
      <w:pPr>
        <w:numPr>
          <w:ilvl w:val="0"/>
          <w:numId w:val="0"/>
        </w:numPr>
        <w:spacing w:line="560" w:lineRule="exact"/>
        <w:ind w:left="0" w:leftChars="0"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</w:t>
      </w:r>
      <w:r>
        <w:rPr>
          <w:rFonts w:hint="eastAsia" w:ascii="仿宋_GB2312"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）</w:t>
      </w:r>
      <w:r>
        <w:rPr>
          <w:rFonts w:hint="eastAsia" w:ascii="仿宋_GB2312" w:eastAsia="仿宋_GB2312"/>
          <w:sz w:val="32"/>
          <w:szCs w:val="32"/>
          <w:lang w:eastAsia="zh-CN"/>
        </w:rPr>
        <w:t>“双高省财资金”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使用绩效。</w:t>
      </w:r>
    </w:p>
    <w:p w14:paraId="315EE97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数量指标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六大专业群全面实施1+X证书工作，编写教材</w:t>
      </w:r>
      <w:r>
        <w:rPr>
          <w:rFonts w:hint="eastAsia" w:ascii="仿宋_GB2312" w:hAnsi="Times New Roman" w:cs="Times New Roman"/>
          <w:kern w:val="2"/>
          <w:sz w:val="32"/>
          <w:szCs w:val="32"/>
          <w:highlight w:val="none"/>
          <w:lang w:val="en-US" w:eastAsia="zh-CN" w:bidi="ar-SA"/>
        </w:rPr>
        <w:t>超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12本，建设精品在线开发课程</w:t>
      </w:r>
      <w:r>
        <w:rPr>
          <w:rFonts w:hint="eastAsia" w:ascii="仿宋_GB2312" w:hAnsi="Times New Roman" w:cs="Times New Roman"/>
          <w:kern w:val="2"/>
          <w:sz w:val="32"/>
          <w:szCs w:val="32"/>
          <w:highlight w:val="none"/>
          <w:lang w:val="en-US" w:eastAsia="zh-CN" w:bidi="ar-SA"/>
        </w:rPr>
        <w:t>超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15门，新建校外实训基地</w:t>
      </w:r>
      <w:r>
        <w:rPr>
          <w:rFonts w:hint="eastAsia" w:ascii="仿宋_GB2312" w:hAnsi="Times New Roman" w:cs="Times New Roman"/>
          <w:kern w:val="2"/>
          <w:sz w:val="32"/>
          <w:szCs w:val="32"/>
          <w:highlight w:val="none"/>
          <w:lang w:val="en-US" w:eastAsia="zh-CN" w:bidi="ar-SA"/>
        </w:rPr>
        <w:t>超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8个。</w:t>
      </w:r>
    </w:p>
    <w:p w14:paraId="594628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2质量指标：学生报到率大于83%，就业率大于87%，标志性成果完成率大于90%。</w:t>
      </w:r>
    </w:p>
    <w:p w14:paraId="65865D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3成本指标：年度项目经费支出率大于95%。</w:t>
      </w:r>
    </w:p>
    <w:p w14:paraId="315C50D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4效益指标：</w:t>
      </w:r>
      <w:r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  <w:t>为企业提供技能培训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16项</w:t>
      </w:r>
      <w:r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  <w:t>个高水专业化产教融合型基地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，完成国内输出技术与服务。</w:t>
      </w:r>
    </w:p>
    <w:p w14:paraId="47CDEA04">
      <w:pPr>
        <w:widowControl/>
        <w:numPr>
          <w:ilvl w:val="0"/>
          <w:numId w:val="0"/>
        </w:num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5满意度指标：</w:t>
      </w:r>
      <w:r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  <w:t>自2021年以来，对全部项目实施和整体社会效益及满意度等各项指标调查，在校生满意度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  <w:t>毕业生满意</w:t>
      </w:r>
    </w:p>
    <w:p w14:paraId="13EB935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  <w:t>度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  <w:t>专任教师满意度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  <w:t>用人单位满意度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均较高</w:t>
      </w:r>
      <w:r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  <w:t>。</w:t>
      </w:r>
    </w:p>
    <w:p w14:paraId="7CD2F3C2">
      <w:pPr>
        <w:snapToGrid w:val="0"/>
        <w:spacing w:beforeLines="0" w:afterLines="0" w:line="360" w:lineRule="auto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（三）资金使用绩效存在的问题</w:t>
      </w:r>
    </w:p>
    <w:p w14:paraId="203F6E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360" w:lineRule="auto"/>
        <w:ind w:firstLine="640" w:firstLineChars="200"/>
        <w:textAlignment w:val="auto"/>
        <w:outlineLvl w:val="9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 w14:paraId="774958B8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、专项资金预算编制采用细化预算的编制方法，然而有些专项资金无法预测或者受到环境因素的改变，一定程度上影响了资金使用的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及时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性，从而影响资金的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年度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支出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进度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。</w:t>
      </w:r>
    </w:p>
    <w:p w14:paraId="18349C47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、下一步将结合近期进行的专项资金使用检查，对现行项目经费使用范围、支出内容及年度使用计划进行评估，对现有的资金政策进行适当的延伸和扩展，做到有理有据，及时调整使用方向。</w:t>
      </w:r>
    </w:p>
    <w:p w14:paraId="02189C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360" w:lineRule="auto"/>
        <w:ind w:firstLine="640" w:firstLineChars="200"/>
        <w:textAlignment w:val="auto"/>
        <w:outlineLvl w:val="9"/>
        <w:rPr>
          <w:rFonts w:hint="eastAsia" w:ascii="黑体" w:hAnsi="Times New Roman" w:eastAsia="黑体" w:cs="Times New Roman"/>
          <w:sz w:val="32"/>
          <w:szCs w:val="32"/>
          <w:lang w:eastAsia="zh-CN"/>
        </w:rPr>
      </w:pPr>
      <w:r>
        <w:rPr>
          <w:rFonts w:hint="eastAsia" w:ascii="黑体" w:hAnsi="Times New Roman" w:eastAsia="黑体" w:cs="Times New Roman"/>
          <w:sz w:val="32"/>
          <w:szCs w:val="32"/>
          <w:lang w:eastAsia="zh-CN"/>
        </w:rPr>
        <w:t>四、到期拟延续计划</w:t>
      </w:r>
    </w:p>
    <w:bookmarkEnd w:id="1"/>
    <w:bookmarkEnd w:id="2"/>
    <w:bookmarkEnd w:id="3"/>
    <w:p w14:paraId="7F3782FB">
      <w:pPr>
        <w:widowControl w:val="0"/>
        <w:spacing w:line="360" w:lineRule="auto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cs="Times New Roman"/>
          <w:sz w:val="32"/>
          <w:szCs w:val="32"/>
          <w:lang w:val="en-US" w:eastAsia="zh-CN"/>
        </w:rPr>
        <w:t>无。</w:t>
      </w:r>
    </w:p>
    <w:p w14:paraId="3F9A154C"/>
    <w:sectPr>
      <w:pgSz w:w="11906" w:h="16838"/>
      <w:pgMar w:top="2041" w:right="1417" w:bottom="141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GWebUrl" w:val="https://xtbgsafe.gdzwfw.gov.cn/rz_gdjytoa//newoa/missive/kinggridOfficeServer.do?method=officeProcess"/>
  </w:docVars>
  <w:rsids>
    <w:rsidRoot w:val="2ABF650E"/>
    <w:rsid w:val="0F3A4549"/>
    <w:rsid w:val="1FB423B2"/>
    <w:rsid w:val="28CC3849"/>
    <w:rsid w:val="2ABF650E"/>
    <w:rsid w:val="399F0E3F"/>
    <w:rsid w:val="3B6536D7"/>
    <w:rsid w:val="42073DF3"/>
    <w:rsid w:val="44D80FFA"/>
    <w:rsid w:val="4AEE60F8"/>
    <w:rsid w:val="5F426303"/>
    <w:rsid w:val="76A27DBA"/>
    <w:rsid w:val="7FF7B622"/>
    <w:rsid w:val="DBBDAB10"/>
    <w:rsid w:val="EBFFB2CC"/>
    <w:rsid w:val="EEFD29F5"/>
    <w:rsid w:val="F5631FAB"/>
    <w:rsid w:val="F77D8061"/>
    <w:rsid w:val="F7DB00A7"/>
    <w:rsid w:val="FB7D54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9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</w:style>
  <w:style w:type="paragraph" w:styleId="4">
    <w:name w:val="annotation text"/>
    <w:basedOn w:val="1"/>
    <w:qFormat/>
    <w:uiPriority w:val="0"/>
    <w:pPr>
      <w:jc w:val="left"/>
    </w:pPr>
  </w:style>
  <w:style w:type="paragraph" w:customStyle="1" w:styleId="7">
    <w:name w:val="_Style 5"/>
    <w:qFormat/>
    <w:uiPriority w:val="0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customStyle="1" w:styleId="8">
    <w:name w:val="正文（缩进）"/>
    <w:basedOn w:val="1"/>
    <w:qFormat/>
    <w:uiPriority w:val="0"/>
    <w:pPr>
      <w:spacing w:before="156" w:beforeLines="50" w:after="156" w:afterLines="50" w:line="360" w:lineRule="auto"/>
      <w:ind w:firstLine="480" w:firstLineChars="200"/>
    </w:pPr>
    <w:rPr>
      <w:kern w:val="0"/>
      <w:sz w:val="24"/>
      <w:szCs w:val="20"/>
    </w:rPr>
  </w:style>
  <w:style w:type="paragraph" w:customStyle="1" w:styleId="9">
    <w:name w:val="正文首行缩进 21"/>
    <w:basedOn w:val="10"/>
    <w:qFormat/>
    <w:uiPriority w:val="0"/>
    <w:pPr>
      <w:spacing w:line="360" w:lineRule="auto"/>
    </w:pPr>
    <w:rPr>
      <w:rFonts w:eastAsia="宋体"/>
      <w:sz w:val="24"/>
    </w:rPr>
  </w:style>
  <w:style w:type="paragraph" w:customStyle="1" w:styleId="10">
    <w:name w:val="正文文本缩进1"/>
    <w:basedOn w:val="1"/>
    <w:qFormat/>
    <w:uiPriority w:val="0"/>
    <w:pPr>
      <w:spacing w:line="150" w:lineRule="atLeast"/>
      <w:ind w:firstLine="420" w:firstLineChars="20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2409</Words>
  <Characters>2554</Characters>
  <Lines>0</Lines>
  <Paragraphs>0</Paragraphs>
  <TotalTime>13</TotalTime>
  <ScaleCrop>false</ScaleCrop>
  <LinksUpToDate>false</LinksUpToDate>
  <CharactersWithSpaces>2610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2022-04-16T17:03:00Z</dcterms:created>
  <dc:creator>王小玉</dc:creator>
  <cp:lastModifiedBy>温毅波</cp:lastModifiedBy>
  <cp:lastPrinted>2025-04-08T10:19:00Z</cp:lastPrinted>
  <dcterms:modified xsi:type="dcterms:W3CDTF">2025-05-16T08:23:46Z</dcterms:modified>
  <dc:title>附件4-1：项目绩效自评报告（参考格式）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B8552EF1AA314AF9A62CDEF5EFC16833_13</vt:lpwstr>
  </property>
  <property fmtid="{D5CDD505-2E9C-101B-9397-08002B2CF9AE}" pid="4" name="ribbonExt">
    <vt:lpwstr>{"WPSExtOfficeTab":{"OnGetEnabled":false,"OnGetVisible":false}}</vt:lpwstr>
  </property>
  <property fmtid="{D5CDD505-2E9C-101B-9397-08002B2CF9AE}" pid="5" name="慧眼令牌">
    <vt:lpwstr>eyJraWQiOiJvYSIsInR5cCI6IkpXVCIsImFsZyI6IkhTMjU2In0.eyJzdWIiOiJPQS1MT0dJTiIsImNvcnBJZCI6IiIsIm1haW5BY2NvdW50IjoiIiwiaXNzIjoiRVhPQSIsIm9EZXB0IjoiIiwidXNlcklkIjoxNTM1MSwibURlcHQiOiIyNCzmlZnogrLnnaPlr7zlrqTvvIjnnIHmlL_lupzmlZnogrLnnaPlr7zlrqTvvIkiLCJuYmYiOjE3NDQ5MzMxMjcsIm5hbWUiOiLluoTpgIkiLCJleHAiOjIwNjAyOTY3MjcsImlhdCI6MTc0NDkzNjEyNywianRpIjoib2EiLCJhY2NvdW50Ijoiemh1YW5neCJ9.x3azvGOFI_g1I_ansh0fdglFEQwlozImu09rO6JgzK8</vt:lpwstr>
  </property>
  <property fmtid="{D5CDD505-2E9C-101B-9397-08002B2CF9AE}" pid="6" name="KSOTemplateDocerSaveRecord">
    <vt:lpwstr>eyJoZGlkIjoiODY4MDNjZTkyZGNjZmVkODhjOTVlNjRlMTlhYmYzMWYiLCJ1c2VySWQiOiI0NTM4OTU3NzMifQ==</vt:lpwstr>
  </property>
</Properties>
</file>