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ADAB5AC">
      <w:pPr>
        <w:adjustRightInd w:val="0"/>
        <w:snapToGrid w:val="0"/>
        <w:spacing w:line="240" w:lineRule="auto"/>
        <w:jc w:val="both"/>
        <w:rPr>
          <w:rFonts w:hint="default" w:ascii="黑体" w:hAnsi="黑体" w:eastAsia="黑体" w:cs="黑体"/>
          <w:bCs/>
          <w:sz w:val="32"/>
          <w:szCs w:val="32"/>
          <w:lang w:val="en-US" w:eastAsia="zh-CN"/>
        </w:rPr>
      </w:pPr>
      <w:r>
        <w:rPr>
          <w:rFonts w:hint="eastAsia" w:ascii="黑体" w:hAnsi="黑体" w:eastAsia="黑体" w:cs="黑体"/>
          <w:bCs/>
          <w:sz w:val="32"/>
          <w:szCs w:val="32"/>
          <w:lang w:val="en-US" w:eastAsia="zh-CN"/>
        </w:rPr>
        <w:t>附件4-1</w:t>
      </w:r>
    </w:p>
    <w:p w14:paraId="470F87F9">
      <w:pPr>
        <w:spacing w:line="360" w:lineRule="auto"/>
        <w:ind w:firstLine="0" w:firstLineChars="0"/>
        <w:jc w:val="center"/>
        <w:rPr>
          <w:rFonts w:hint="eastAsia" w:ascii="方正小标宋简体" w:hAnsi="方正小标宋简体" w:eastAsia="方正小标宋简体" w:cs="方正小标宋简体"/>
          <w:sz w:val="44"/>
          <w:szCs w:val="44"/>
          <w:lang w:val="en-US" w:eastAsia="zh-CN"/>
        </w:rPr>
      </w:pPr>
    </w:p>
    <w:p w14:paraId="7C082ECE">
      <w:pPr>
        <w:spacing w:line="360" w:lineRule="auto"/>
        <w:ind w:firstLine="0" w:firstLineChars="0"/>
        <w:jc w:val="center"/>
        <w:rPr>
          <w:rFonts w:hint="eastAsia" w:ascii="方正小标宋简体" w:hAnsi="方正小标宋简体" w:eastAsia="方正小标宋简体" w:cs="方正小标宋简体"/>
          <w:sz w:val="44"/>
          <w:szCs w:val="44"/>
          <w:lang w:val="en-US" w:eastAsia="zh-CN"/>
        </w:rPr>
      </w:pPr>
    </w:p>
    <w:p w14:paraId="51D291F4">
      <w:pPr>
        <w:spacing w:line="360" w:lineRule="auto"/>
        <w:ind w:firstLine="0" w:firstLineChars="0"/>
        <w:jc w:val="center"/>
        <w:rPr>
          <w:rFonts w:hint="eastAsia" w:ascii="仿宋_GB2312" w:eastAsia="仿宋_GB2312"/>
          <w:sz w:val="44"/>
          <w:szCs w:val="44"/>
        </w:rPr>
      </w:pPr>
      <w:r>
        <w:rPr>
          <w:rFonts w:hint="eastAsia" w:ascii="方正小标宋简体" w:hAnsi="方正小标宋简体" w:eastAsia="方正小标宋简体" w:cs="方正小标宋简体"/>
          <w:sz w:val="44"/>
          <w:szCs w:val="44"/>
          <w:lang w:val="en-US" w:eastAsia="zh-CN"/>
        </w:rPr>
        <w:t>基础教育质量监测督导评估及特色专项（2021-2025年）项目</w:t>
      </w:r>
      <w:r>
        <w:rPr>
          <w:rFonts w:hint="eastAsia" w:ascii="方正小标宋简体" w:hAnsi="方正小标宋简体" w:eastAsia="方正小标宋简体" w:cs="方正小标宋简体"/>
          <w:sz w:val="44"/>
          <w:szCs w:val="44"/>
        </w:rPr>
        <w:t>绩效自评报告</w:t>
      </w:r>
    </w:p>
    <w:p w14:paraId="4DEFA41D">
      <w:pPr>
        <w:spacing w:before="156" w:beforeLines="50" w:after="156" w:afterLines="50"/>
        <w:jc w:val="center"/>
        <w:rPr>
          <w:rFonts w:hint="eastAsia" w:ascii="Times New Roman" w:hAnsi="Times New Roman" w:eastAsia="黑体"/>
          <w:sz w:val="44"/>
          <w:szCs w:val="44"/>
        </w:rPr>
      </w:pPr>
    </w:p>
    <w:p w14:paraId="3104318F">
      <w:pPr>
        <w:spacing w:before="156" w:beforeLines="50" w:after="156" w:afterLines="50"/>
        <w:jc w:val="center"/>
        <w:rPr>
          <w:rFonts w:hint="eastAsia" w:ascii="Times New Roman" w:hAnsi="Times New Roman" w:eastAsia="黑体"/>
          <w:sz w:val="44"/>
          <w:szCs w:val="44"/>
        </w:rPr>
      </w:pPr>
    </w:p>
    <w:p w14:paraId="36E51E6B">
      <w:pPr>
        <w:spacing w:before="156" w:beforeLines="50" w:after="156" w:afterLines="50"/>
        <w:jc w:val="center"/>
        <w:rPr>
          <w:rFonts w:hint="eastAsia" w:ascii="Times New Roman" w:hAnsi="Times New Roman" w:eastAsia="黑体"/>
          <w:sz w:val="44"/>
          <w:szCs w:val="44"/>
        </w:rPr>
      </w:pPr>
    </w:p>
    <w:p w14:paraId="033F7768">
      <w:pPr>
        <w:pStyle w:val="2"/>
        <w:outlineLvl w:val="9"/>
        <w:rPr>
          <w:rFonts w:hint="eastAsia" w:ascii="Times New Roman" w:hAnsi="Times New Roman" w:eastAsia="黑体"/>
          <w:sz w:val="44"/>
          <w:szCs w:val="44"/>
        </w:rPr>
      </w:pPr>
    </w:p>
    <w:p w14:paraId="0CCF813E">
      <w:pPr>
        <w:pStyle w:val="2"/>
        <w:outlineLvl w:val="9"/>
        <w:rPr>
          <w:rFonts w:hint="eastAsia" w:ascii="Times New Roman" w:hAnsi="Times New Roman"/>
        </w:rPr>
      </w:pPr>
    </w:p>
    <w:p w14:paraId="6839B98D">
      <w:pPr>
        <w:rPr>
          <w:rFonts w:hint="eastAsia" w:ascii="Times New Roman" w:hAnsi="Times New Roman"/>
        </w:rPr>
      </w:pPr>
    </w:p>
    <w:p w14:paraId="623C49A5">
      <w:pPr>
        <w:pStyle w:val="2"/>
        <w:outlineLvl w:val="9"/>
        <w:rPr>
          <w:rFonts w:hint="eastAsia" w:ascii="Times New Roman" w:hAnsi="Times New Roman"/>
        </w:rPr>
      </w:pPr>
    </w:p>
    <w:p w14:paraId="56EA02AE">
      <w:pPr>
        <w:snapToGrid w:val="0"/>
        <w:spacing w:beforeLines="0" w:afterLines="0" w:line="360" w:lineRule="auto"/>
        <w:rPr>
          <w:rFonts w:hint="eastAsia" w:ascii="仿宋_GB2312" w:eastAsia="仿宋_GB2312"/>
          <w:sz w:val="32"/>
          <w:szCs w:val="32"/>
        </w:rPr>
      </w:pPr>
      <w:r>
        <w:rPr>
          <w:rFonts w:hint="eastAsia" w:ascii="仿宋_GB2312" w:hAnsi="Times New Roman" w:eastAsia="仿宋_GB2312" w:cs="Times New Roman"/>
          <w:color w:val="auto"/>
          <w:sz w:val="32"/>
          <w:szCs w:val="32"/>
          <w:highlight w:val="none"/>
        </w:rPr>
        <w:t xml:space="preserve">    </w:t>
      </w:r>
    </w:p>
    <w:p w14:paraId="48568388">
      <w:pPr>
        <w:pStyle w:val="6"/>
        <w:ind w:left="0" w:leftChars="0" w:firstLine="0" w:firstLineChars="0"/>
        <w:rPr>
          <w:rFonts w:hint="eastAsia" w:ascii="Times New Roman" w:hAnsi="Times New Roman" w:eastAsia="黑体"/>
          <w:sz w:val="44"/>
          <w:szCs w:val="44"/>
        </w:rPr>
      </w:pPr>
    </w:p>
    <w:p w14:paraId="7197B06B">
      <w:pPr>
        <w:snapToGrid w:val="0"/>
        <w:spacing w:line="360" w:lineRule="auto"/>
        <w:ind w:left="0" w:leftChars="0" w:firstLine="0" w:firstLineChars="0"/>
        <w:rPr>
          <w:rFonts w:hint="default" w:ascii="仿宋_GB2312" w:hAnsi="Times New Roman" w:eastAsia="仿宋_GB2312" w:cs="Times New Roman"/>
          <w:color w:val="auto"/>
          <w:sz w:val="32"/>
          <w:szCs w:val="32"/>
          <w:highlight w:val="none"/>
          <w:lang w:val="en-US" w:eastAsia="zh-CN"/>
        </w:rPr>
      </w:pPr>
      <w:r>
        <w:rPr>
          <w:rFonts w:hint="eastAsia" w:ascii="仿宋_GB2312" w:hAnsi="Times New Roman" w:eastAsia="仿宋_GB2312" w:cs="Times New Roman"/>
          <w:color w:val="auto"/>
          <w:sz w:val="32"/>
          <w:szCs w:val="32"/>
          <w:highlight w:val="none"/>
        </w:rPr>
        <w:t xml:space="preserve">          部门名称：</w:t>
      </w:r>
      <w:r>
        <w:rPr>
          <w:rFonts w:hint="default" w:ascii="仿宋" w:hAnsi="仿宋" w:eastAsia="仿宋" w:cs="仿宋"/>
          <w:spacing w:val="10"/>
          <w:sz w:val="31"/>
          <w:szCs w:val="31"/>
          <w:lang w:val="en-US" w:eastAsia="en-US"/>
        </w:rPr>
        <w:t>广东轻工职业技术</w:t>
      </w:r>
      <w:r>
        <w:rPr>
          <w:rFonts w:hint="eastAsia" w:ascii="仿宋" w:hAnsi="仿宋" w:eastAsia="仿宋" w:cs="仿宋"/>
          <w:spacing w:val="10"/>
          <w:sz w:val="31"/>
          <w:szCs w:val="31"/>
          <w:lang w:val="en-US" w:eastAsia="zh-CN"/>
        </w:rPr>
        <w:t>大学</w:t>
      </w:r>
    </w:p>
    <w:p w14:paraId="22D307AE">
      <w:pPr>
        <w:snapToGrid w:val="0"/>
        <w:spacing w:line="360" w:lineRule="auto"/>
        <w:rPr>
          <w:rFonts w:hint="default" w:ascii="仿宋_GB2312" w:hAnsi="Times New Roman" w:eastAsia="仿宋_GB2312" w:cs="Times New Roman"/>
          <w:color w:val="auto"/>
          <w:sz w:val="32"/>
          <w:szCs w:val="32"/>
          <w:highlight w:val="none"/>
          <w:lang w:val="en-US" w:eastAsia="zh-CN"/>
        </w:rPr>
      </w:pPr>
      <w:r>
        <w:rPr>
          <w:rFonts w:hint="eastAsia" w:ascii="仿宋_GB2312" w:hAnsi="Times New Roman" w:eastAsia="仿宋_GB2312" w:cs="Times New Roman"/>
          <w:color w:val="auto"/>
          <w:sz w:val="32"/>
          <w:szCs w:val="32"/>
          <w:highlight w:val="none"/>
        </w:rPr>
        <w:t xml:space="preserve">          填报人：</w:t>
      </w:r>
      <w:r>
        <w:rPr>
          <w:rFonts w:hint="eastAsia" w:ascii="仿宋_GB2312" w:cs="Times New Roman"/>
          <w:color w:val="auto"/>
          <w:sz w:val="32"/>
          <w:szCs w:val="32"/>
          <w:highlight w:val="none"/>
          <w:lang w:val="en-US" w:eastAsia="zh-CN"/>
        </w:rPr>
        <w:t>温毅波</w:t>
      </w:r>
    </w:p>
    <w:p w14:paraId="160971C3">
      <w:pPr>
        <w:snapToGrid w:val="0"/>
        <w:spacing w:line="360" w:lineRule="auto"/>
        <w:rPr>
          <w:rFonts w:hint="default" w:ascii="仿宋_GB2312" w:hAnsi="Times New Roman" w:eastAsia="仿宋_GB2312" w:cs="Times New Roman"/>
          <w:color w:val="auto"/>
          <w:sz w:val="32"/>
          <w:szCs w:val="32"/>
          <w:highlight w:val="none"/>
          <w:lang w:val="en-US" w:eastAsia="zh-CN"/>
        </w:rPr>
      </w:pPr>
      <w:r>
        <w:rPr>
          <w:rFonts w:hint="eastAsia" w:ascii="仿宋_GB2312" w:hAnsi="Times New Roman" w:eastAsia="仿宋_GB2312" w:cs="Times New Roman"/>
          <w:color w:val="auto"/>
          <w:sz w:val="32"/>
          <w:szCs w:val="32"/>
          <w:highlight w:val="none"/>
        </w:rPr>
        <w:t xml:space="preserve">          联系电话：</w:t>
      </w:r>
      <w:r>
        <w:rPr>
          <w:rFonts w:hint="eastAsia" w:ascii="仿宋_GB2312" w:cs="Times New Roman"/>
          <w:color w:val="auto"/>
          <w:sz w:val="32"/>
          <w:szCs w:val="32"/>
          <w:highlight w:val="none"/>
          <w:lang w:val="en-US" w:eastAsia="zh-CN"/>
        </w:rPr>
        <w:t>13828423656</w:t>
      </w:r>
    </w:p>
    <w:p w14:paraId="6D5D626D">
      <w:pPr>
        <w:snapToGrid w:val="0"/>
        <w:spacing w:line="360" w:lineRule="auto"/>
        <w:rPr>
          <w:rFonts w:hint="default" w:eastAsia="仿宋_GB2312"/>
          <w:lang w:val="en-US" w:eastAsia="zh-CN"/>
        </w:rPr>
        <w:sectPr>
          <w:pgSz w:w="11906" w:h="16838"/>
          <w:pgMar w:top="2041" w:right="1417" w:bottom="1417" w:left="1531" w:header="851" w:footer="992" w:gutter="0"/>
          <w:pgNumType w:fmt="numberInDash"/>
          <w:cols w:space="720" w:num="1"/>
          <w:docGrid w:type="lines" w:linePitch="312" w:charSpace="0"/>
        </w:sectPr>
      </w:pPr>
      <w:r>
        <w:rPr>
          <w:rFonts w:hint="eastAsia" w:ascii="仿宋_GB2312" w:hAnsi="Times New Roman" w:eastAsia="仿宋_GB2312" w:cs="Times New Roman"/>
          <w:color w:val="auto"/>
          <w:sz w:val="32"/>
          <w:szCs w:val="32"/>
          <w:highlight w:val="none"/>
        </w:rPr>
        <w:t xml:space="preserve">          填报日期</w:t>
      </w:r>
      <w:bookmarkStart w:id="0" w:name="_Toc21411"/>
      <w:r>
        <w:rPr>
          <w:rFonts w:hint="eastAsia" w:ascii="仿宋_GB2312" w:cs="Times New Roman"/>
          <w:color w:val="auto"/>
          <w:sz w:val="32"/>
          <w:szCs w:val="32"/>
          <w:highlight w:val="none"/>
          <w:lang w:eastAsia="zh-CN"/>
        </w:rPr>
        <w:t>：</w:t>
      </w:r>
      <w:r>
        <w:rPr>
          <w:rFonts w:hint="eastAsia" w:ascii="仿宋_GB2312" w:cs="Times New Roman"/>
          <w:color w:val="auto"/>
          <w:sz w:val="32"/>
          <w:szCs w:val="32"/>
          <w:highlight w:val="none"/>
          <w:lang w:val="en-US" w:eastAsia="zh-CN"/>
        </w:rPr>
        <w:t>2025年5月16日</w:t>
      </w:r>
    </w:p>
    <w:bookmarkEnd w:id="0"/>
    <w:p w14:paraId="2376B101">
      <w:pPr>
        <w:snapToGrid w:val="0"/>
        <w:spacing w:beforeLines="0" w:afterLines="0" w:line="360" w:lineRule="auto"/>
        <w:ind w:firstLine="640" w:firstLineChars="200"/>
        <w:rPr>
          <w:rFonts w:hint="eastAsia" w:ascii="黑体" w:eastAsia="黑体"/>
          <w:sz w:val="32"/>
          <w:szCs w:val="32"/>
        </w:rPr>
      </w:pPr>
      <w:bookmarkStart w:id="1" w:name="_Toc27308"/>
      <w:bookmarkStart w:id="2" w:name="_Toc30733"/>
      <w:bookmarkStart w:id="3" w:name="_Toc6861"/>
      <w:r>
        <w:rPr>
          <w:rFonts w:hint="eastAsia" w:ascii="黑体" w:eastAsia="黑体"/>
          <w:sz w:val="32"/>
          <w:szCs w:val="32"/>
        </w:rPr>
        <w:t>一、基本情况</w:t>
      </w:r>
    </w:p>
    <w:p w14:paraId="2A181F2E">
      <w:pPr>
        <w:snapToGrid w:val="0"/>
        <w:spacing w:beforeLines="0" w:afterLines="0" w:line="360" w:lineRule="auto"/>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en-US"/>
        </w:rPr>
        <w:t>为全面贯彻二十大精神，深入学习习近平总书记重要讲话精神</w:t>
      </w:r>
      <w:r>
        <w:rPr>
          <w:rFonts w:hint="eastAsia" w:ascii="仿宋" w:hAnsi="仿宋" w:eastAsia="仿宋" w:cs="仿宋"/>
          <w:sz w:val="32"/>
          <w:szCs w:val="32"/>
          <w:lang w:val="en-US" w:eastAsia="zh-CN"/>
        </w:rPr>
        <w:t>，</w:t>
      </w:r>
      <w:r>
        <w:rPr>
          <w:rFonts w:hint="eastAsia" w:ascii="仿宋" w:hAnsi="仿宋" w:eastAsia="仿宋" w:cs="仿宋"/>
          <w:sz w:val="32"/>
          <w:szCs w:val="32"/>
          <w:lang w:val="en-US" w:eastAsia="en-US"/>
        </w:rPr>
        <w:t>落实《中共广东省省委广东省人民政府关于推动基础教育深化改革高质量发展的意见》《广东省人民政府关于印发广东省推动基础教育高质量发展行动方案的通知》</w:t>
      </w:r>
      <w:r>
        <w:rPr>
          <w:rFonts w:hint="eastAsia" w:ascii="仿宋" w:hAnsi="仿宋" w:eastAsia="仿宋" w:cs="仿宋"/>
          <w:sz w:val="32"/>
          <w:szCs w:val="32"/>
          <w:lang w:val="en-US" w:eastAsia="zh-CN"/>
        </w:rPr>
        <w:t>，</w:t>
      </w:r>
      <w:r>
        <w:rPr>
          <w:rFonts w:hint="eastAsia" w:ascii="仿宋" w:hAnsi="仿宋" w:eastAsia="仿宋" w:cs="仿宋"/>
          <w:sz w:val="32"/>
          <w:szCs w:val="32"/>
          <w:lang w:val="en-US" w:eastAsia="en-US"/>
        </w:rPr>
        <w:t>着力构建广东特色基础教育新生态和德智体美劳全面培养的教育体系</w:t>
      </w:r>
      <w:r>
        <w:rPr>
          <w:rFonts w:hint="eastAsia" w:ascii="仿宋" w:hAnsi="仿宋" w:eastAsia="仿宋" w:cs="仿宋"/>
          <w:sz w:val="32"/>
          <w:szCs w:val="32"/>
          <w:lang w:val="en-US" w:eastAsia="zh-CN"/>
        </w:rPr>
        <w:t>，</w:t>
      </w:r>
      <w:r>
        <w:rPr>
          <w:rFonts w:hint="eastAsia" w:ascii="仿宋" w:hAnsi="仿宋" w:eastAsia="仿宋" w:cs="仿宋"/>
          <w:sz w:val="32"/>
          <w:szCs w:val="32"/>
          <w:lang w:val="en-US" w:eastAsia="en-US"/>
        </w:rPr>
        <w:t>促进学前教育普及普惠安全优质发展，义务教育持续健康协调发展</w:t>
      </w:r>
      <w:r>
        <w:rPr>
          <w:rFonts w:hint="eastAsia" w:ascii="仿宋" w:hAnsi="仿宋" w:eastAsia="仿宋" w:cs="仿宋"/>
          <w:sz w:val="32"/>
          <w:szCs w:val="32"/>
          <w:lang w:val="en-US" w:eastAsia="zh-CN"/>
        </w:rPr>
        <w:t>，</w:t>
      </w:r>
      <w:r>
        <w:rPr>
          <w:rFonts w:hint="eastAsia" w:ascii="仿宋" w:hAnsi="仿宋" w:eastAsia="仿宋" w:cs="仿宋"/>
          <w:sz w:val="32"/>
          <w:szCs w:val="32"/>
          <w:lang w:val="en-US" w:eastAsia="en-US"/>
        </w:rPr>
        <w:t>普通高中多样化特色发展</w:t>
      </w:r>
      <w:r>
        <w:rPr>
          <w:rFonts w:hint="eastAsia" w:ascii="仿宋" w:hAnsi="仿宋" w:eastAsia="仿宋" w:cs="仿宋"/>
          <w:sz w:val="32"/>
          <w:szCs w:val="32"/>
          <w:lang w:val="en-US" w:eastAsia="zh-CN"/>
        </w:rPr>
        <w:t>，</w:t>
      </w:r>
      <w:r>
        <w:rPr>
          <w:rFonts w:hint="eastAsia" w:ascii="仿宋" w:hAnsi="仿宋" w:eastAsia="仿宋" w:cs="仿宋"/>
          <w:sz w:val="32"/>
          <w:szCs w:val="32"/>
          <w:lang w:val="en-US" w:eastAsia="en-US"/>
        </w:rPr>
        <w:t>特殊教育公平融合发展</w:t>
      </w:r>
      <w:r>
        <w:rPr>
          <w:rFonts w:hint="eastAsia" w:ascii="仿宋" w:hAnsi="仿宋" w:eastAsia="仿宋" w:cs="仿宋"/>
          <w:sz w:val="32"/>
          <w:szCs w:val="32"/>
          <w:lang w:val="en-US" w:eastAsia="zh-CN"/>
        </w:rPr>
        <w:t>，</w:t>
      </w:r>
      <w:r>
        <w:rPr>
          <w:rFonts w:hint="eastAsia" w:ascii="仿宋" w:hAnsi="仿宋" w:eastAsia="仿宋" w:cs="仿宋"/>
          <w:sz w:val="32"/>
          <w:szCs w:val="32"/>
          <w:lang w:val="en-US" w:eastAsia="en-US"/>
        </w:rPr>
        <w:t>全面提升基础教育质量</w:t>
      </w:r>
      <w:r>
        <w:rPr>
          <w:rFonts w:hint="eastAsia" w:ascii="仿宋" w:hAnsi="仿宋" w:eastAsia="仿宋" w:cs="仿宋"/>
          <w:sz w:val="32"/>
          <w:szCs w:val="32"/>
          <w:lang w:val="en-US" w:eastAsia="zh-CN"/>
        </w:rPr>
        <w:t>，</w:t>
      </w:r>
      <w:r>
        <w:rPr>
          <w:rFonts w:hint="eastAsia" w:ascii="仿宋" w:hAnsi="仿宋" w:eastAsia="仿宋" w:cs="仿宋"/>
          <w:sz w:val="32"/>
          <w:szCs w:val="32"/>
          <w:lang w:val="en-US" w:eastAsia="en-US"/>
        </w:rPr>
        <w:t>使每个学生都能享有公平而有质量的教育</w:t>
      </w:r>
      <w:r>
        <w:rPr>
          <w:rFonts w:hint="eastAsia" w:ascii="仿宋" w:hAnsi="仿宋" w:eastAsia="仿宋" w:cs="仿宋"/>
          <w:sz w:val="32"/>
          <w:szCs w:val="32"/>
          <w:lang w:val="en-US" w:eastAsia="zh-CN"/>
        </w:rPr>
        <w:t>。</w:t>
      </w:r>
      <w:r>
        <w:rPr>
          <w:rFonts w:hint="eastAsia" w:ascii="仿宋" w:hAnsi="仿宋" w:eastAsia="仿宋" w:cs="仿宋"/>
          <w:sz w:val="32"/>
          <w:szCs w:val="32"/>
          <w:lang w:val="en-US" w:eastAsia="en-US"/>
        </w:rPr>
        <w:t>202</w:t>
      </w:r>
      <w:r>
        <w:rPr>
          <w:rFonts w:hint="eastAsia" w:ascii="仿宋" w:hAnsi="仿宋" w:eastAsia="仿宋" w:cs="仿宋"/>
          <w:sz w:val="32"/>
          <w:szCs w:val="32"/>
          <w:lang w:val="en-US" w:eastAsia="zh-CN"/>
        </w:rPr>
        <w:t>1-2025</w:t>
      </w:r>
      <w:r>
        <w:rPr>
          <w:rFonts w:hint="eastAsia" w:ascii="仿宋" w:hAnsi="仿宋" w:eastAsia="仿宋" w:cs="仿宋"/>
          <w:sz w:val="32"/>
          <w:szCs w:val="32"/>
          <w:lang w:val="en-US" w:eastAsia="en-US"/>
        </w:rPr>
        <w:t>年省财政安排基础教育质量监测、督导评估及特色专项</w:t>
      </w:r>
      <w:r>
        <w:rPr>
          <w:rFonts w:hint="eastAsia" w:ascii="仿宋" w:hAnsi="仿宋" w:eastAsia="仿宋" w:cs="仿宋"/>
          <w:sz w:val="32"/>
          <w:szCs w:val="32"/>
          <w:lang w:val="en-US" w:eastAsia="zh-CN"/>
        </w:rPr>
        <w:t>资金68</w:t>
      </w:r>
      <w:r>
        <w:rPr>
          <w:rFonts w:hint="eastAsia" w:ascii="仿宋" w:hAnsi="仿宋" w:eastAsia="仿宋" w:cs="仿宋"/>
          <w:sz w:val="32"/>
          <w:szCs w:val="32"/>
          <w:lang w:val="en-US" w:eastAsia="en-US"/>
        </w:rPr>
        <w:t>万元。</w:t>
      </w:r>
      <w:r>
        <w:rPr>
          <w:rFonts w:hint="eastAsia" w:ascii="仿宋" w:hAnsi="仿宋" w:eastAsia="仿宋" w:cs="仿宋"/>
          <w:sz w:val="32"/>
          <w:szCs w:val="32"/>
          <w:lang w:val="en-US" w:eastAsia="zh-CN"/>
        </w:rPr>
        <w:t>主要用于</w:t>
      </w:r>
      <w:r>
        <w:rPr>
          <w:rFonts w:hint="eastAsia" w:ascii="仿宋" w:hAnsi="仿宋" w:eastAsia="仿宋" w:cs="仿宋"/>
          <w:sz w:val="32"/>
          <w:szCs w:val="32"/>
          <w:lang w:val="en-US" w:eastAsia="en-US"/>
        </w:rPr>
        <w:t>面向省</w:t>
      </w:r>
      <w:r>
        <w:rPr>
          <w:rFonts w:hint="eastAsia" w:ascii="仿宋" w:hAnsi="仿宋" w:eastAsia="仿宋" w:cs="仿宋"/>
          <w:sz w:val="32"/>
          <w:szCs w:val="32"/>
          <w:lang w:val="en-US" w:eastAsia="zh-CN"/>
        </w:rPr>
        <w:t>内</w:t>
      </w:r>
      <w:r>
        <w:rPr>
          <w:rFonts w:hint="eastAsia" w:ascii="仿宋" w:hAnsi="仿宋" w:eastAsia="仿宋" w:cs="仿宋"/>
          <w:sz w:val="32"/>
          <w:szCs w:val="32"/>
          <w:lang w:val="en-US" w:eastAsia="en-US"/>
        </w:rPr>
        <w:t>外对口支援和东西部</w:t>
      </w:r>
      <w:r>
        <w:rPr>
          <w:rFonts w:hint="eastAsia" w:ascii="仿宋" w:hAnsi="仿宋" w:eastAsia="仿宋" w:cs="仿宋"/>
          <w:sz w:val="32"/>
          <w:szCs w:val="32"/>
          <w:lang w:val="en-US" w:eastAsia="zh-CN"/>
        </w:rPr>
        <w:t>帮扶</w:t>
      </w:r>
      <w:r>
        <w:rPr>
          <w:rFonts w:hint="eastAsia" w:ascii="仿宋" w:hAnsi="仿宋" w:eastAsia="仿宋" w:cs="仿宋"/>
          <w:sz w:val="32"/>
          <w:szCs w:val="32"/>
          <w:lang w:val="en-US" w:eastAsia="en-US"/>
        </w:rPr>
        <w:t>协作地区开展</w:t>
      </w:r>
      <w:r>
        <w:rPr>
          <w:rFonts w:hint="eastAsia" w:ascii="仿宋" w:hAnsi="仿宋" w:eastAsia="仿宋" w:cs="仿宋"/>
          <w:sz w:val="32"/>
          <w:szCs w:val="32"/>
          <w:lang w:val="en-US" w:eastAsia="zh-CN"/>
        </w:rPr>
        <w:t>教育</w:t>
      </w:r>
      <w:r>
        <w:rPr>
          <w:rFonts w:hint="eastAsia" w:ascii="仿宋" w:hAnsi="仿宋" w:eastAsia="仿宋" w:cs="仿宋"/>
          <w:sz w:val="32"/>
          <w:szCs w:val="32"/>
          <w:lang w:val="en-US" w:eastAsia="en-US"/>
        </w:rPr>
        <w:t>结对</w:t>
      </w:r>
      <w:r>
        <w:rPr>
          <w:rFonts w:hint="eastAsia" w:ascii="仿宋" w:hAnsi="仿宋" w:eastAsia="仿宋" w:cs="仿宋"/>
          <w:sz w:val="32"/>
          <w:szCs w:val="32"/>
          <w:lang w:val="en-US" w:eastAsia="zh-CN"/>
        </w:rPr>
        <w:t>协作、产业技术帮扶，组织</w:t>
      </w:r>
      <w:r>
        <w:rPr>
          <w:rFonts w:hint="eastAsia" w:ascii="仿宋" w:hAnsi="仿宋" w:eastAsia="仿宋" w:cs="仿宋"/>
          <w:spacing w:val="0"/>
          <w:sz w:val="32"/>
          <w:szCs w:val="32"/>
        </w:rPr>
        <w:t>开展高校大学生暑期社会实践活动</w:t>
      </w:r>
      <w:r>
        <w:rPr>
          <w:rFonts w:hint="eastAsia" w:ascii="仿宋" w:hAnsi="仿宋" w:eastAsia="仿宋" w:cs="仿宋"/>
          <w:sz w:val="32"/>
          <w:szCs w:val="32"/>
          <w:lang w:val="en-US" w:eastAsia="zh-CN"/>
        </w:rPr>
        <w:t>等，</w:t>
      </w:r>
      <w:r>
        <w:rPr>
          <w:rFonts w:hint="eastAsia" w:ascii="仿宋" w:hAnsi="仿宋" w:eastAsia="仿宋" w:cs="仿宋"/>
          <w:sz w:val="32"/>
          <w:szCs w:val="32"/>
          <w:lang w:val="en-US" w:eastAsia="en-US"/>
        </w:rPr>
        <w:t>支持当地学校提升教育教学水平</w:t>
      </w:r>
      <w:r>
        <w:rPr>
          <w:rFonts w:hint="eastAsia" w:ascii="仿宋" w:hAnsi="仿宋" w:eastAsia="仿宋" w:cs="仿宋"/>
          <w:sz w:val="32"/>
          <w:szCs w:val="32"/>
          <w:lang w:val="en-US" w:eastAsia="zh-CN"/>
        </w:rPr>
        <w:t>，农业科技水平，</w:t>
      </w:r>
      <w:r>
        <w:rPr>
          <w:rFonts w:hint="eastAsia" w:ascii="仿宋" w:hAnsi="仿宋" w:eastAsia="仿宋" w:cs="仿宋"/>
          <w:sz w:val="32"/>
          <w:szCs w:val="32"/>
          <w:lang w:val="en-US" w:eastAsia="en-US"/>
        </w:rPr>
        <w:t>助力乡村振兴</w:t>
      </w:r>
      <w:r>
        <w:rPr>
          <w:rFonts w:hint="eastAsia" w:ascii="仿宋" w:hAnsi="仿宋" w:eastAsia="仿宋" w:cs="仿宋"/>
          <w:sz w:val="32"/>
          <w:szCs w:val="32"/>
          <w:lang w:val="en-US" w:eastAsia="zh-CN"/>
        </w:rPr>
        <w:t>。</w:t>
      </w:r>
    </w:p>
    <w:p w14:paraId="0BC68710">
      <w:pPr>
        <w:snapToGrid w:val="0"/>
        <w:spacing w:beforeLines="0" w:afterLines="0" w:line="360" w:lineRule="auto"/>
        <w:ind w:firstLine="640" w:firstLineChars="200"/>
        <w:rPr>
          <w:rFonts w:hint="eastAsia" w:ascii="黑体" w:eastAsia="黑体"/>
          <w:sz w:val="32"/>
          <w:szCs w:val="32"/>
        </w:rPr>
      </w:pPr>
      <w:r>
        <w:rPr>
          <w:rFonts w:hint="eastAsia" w:ascii="黑体" w:eastAsia="黑体"/>
          <w:sz w:val="32"/>
          <w:szCs w:val="32"/>
        </w:rPr>
        <w:t>二、自评情况</w:t>
      </w:r>
    </w:p>
    <w:p w14:paraId="275B9943">
      <w:pPr>
        <w:snapToGrid w:val="0"/>
        <w:spacing w:beforeLines="0" w:afterLines="0" w:line="360" w:lineRule="auto"/>
        <w:ind w:firstLine="643" w:firstLineChars="200"/>
        <w:rPr>
          <w:rFonts w:hint="eastAsia" w:ascii="楷体" w:hAnsi="楷体" w:eastAsia="楷体" w:cs="楷体"/>
          <w:b/>
          <w:bCs/>
          <w:sz w:val="32"/>
          <w:szCs w:val="32"/>
          <w:lang w:eastAsia="zh-CN"/>
        </w:rPr>
      </w:pPr>
      <w:r>
        <w:rPr>
          <w:rFonts w:hint="eastAsia" w:ascii="楷体" w:hAnsi="楷体" w:eastAsia="楷体" w:cs="楷体"/>
          <w:b/>
          <w:bCs/>
          <w:sz w:val="32"/>
          <w:szCs w:val="32"/>
        </w:rPr>
        <w:t>（一）自评</w:t>
      </w:r>
      <w:r>
        <w:rPr>
          <w:rFonts w:hint="eastAsia" w:ascii="楷体" w:hAnsi="楷体" w:eastAsia="楷体" w:cs="楷体"/>
          <w:b/>
          <w:bCs/>
          <w:sz w:val="32"/>
          <w:szCs w:val="32"/>
          <w:lang w:eastAsia="zh-CN"/>
        </w:rPr>
        <w:t>结论</w:t>
      </w:r>
    </w:p>
    <w:p w14:paraId="392DA1C0">
      <w:pPr>
        <w:snapToGrid w:val="0"/>
        <w:spacing w:beforeLines="0" w:afterLines="0" w:line="360" w:lineRule="auto"/>
        <w:ind w:firstLine="676" w:firstLineChars="200"/>
        <w:rPr>
          <w:rFonts w:hint="eastAsia" w:ascii="仿宋" w:hAnsi="仿宋" w:eastAsia="仿宋" w:cs="仿宋"/>
          <w:spacing w:val="9"/>
          <w:sz w:val="32"/>
          <w:szCs w:val="32"/>
        </w:rPr>
      </w:pPr>
      <w:r>
        <w:rPr>
          <w:rFonts w:hint="eastAsia" w:ascii="仿宋" w:hAnsi="仿宋" w:eastAsia="仿宋" w:cs="仿宋"/>
          <w:spacing w:val="9"/>
          <w:sz w:val="32"/>
          <w:szCs w:val="32"/>
        </w:rPr>
        <w:t>根据自评得分报告、预算申报绩效目标、决算报表等材料</w:t>
      </w:r>
      <w:r>
        <w:rPr>
          <w:rFonts w:hint="eastAsia" w:ascii="仿宋" w:hAnsi="仿宋" w:eastAsia="仿宋" w:cs="仿宋"/>
          <w:spacing w:val="9"/>
          <w:sz w:val="32"/>
          <w:szCs w:val="32"/>
          <w:lang w:val="en-US" w:eastAsia="zh-CN"/>
        </w:rPr>
        <w:t>,</w:t>
      </w:r>
      <w:r>
        <w:rPr>
          <w:rFonts w:hint="eastAsia" w:ascii="仿宋" w:hAnsi="仿宋" w:eastAsia="仿宋" w:cs="仿宋"/>
          <w:spacing w:val="9"/>
          <w:sz w:val="32"/>
          <w:szCs w:val="32"/>
        </w:rPr>
        <w:t>各项目对照项目支出类绩效自评指标体系评分标准</w:t>
      </w:r>
      <w:r>
        <w:rPr>
          <w:rFonts w:hint="eastAsia" w:ascii="仿宋" w:hAnsi="仿宋" w:eastAsia="仿宋" w:cs="仿宋"/>
          <w:spacing w:val="9"/>
          <w:sz w:val="32"/>
          <w:szCs w:val="32"/>
          <w:lang w:val="en-US" w:eastAsia="zh-CN"/>
        </w:rPr>
        <w:t>,</w:t>
      </w:r>
      <w:r>
        <w:rPr>
          <w:rFonts w:hint="eastAsia" w:ascii="仿宋" w:hAnsi="仿宋" w:eastAsia="仿宋" w:cs="仿宋"/>
          <w:spacing w:val="9"/>
          <w:sz w:val="32"/>
          <w:szCs w:val="32"/>
        </w:rPr>
        <w:t>自评得分等级</w:t>
      </w:r>
      <w:r>
        <w:rPr>
          <w:rFonts w:hint="eastAsia" w:ascii="仿宋" w:hAnsi="仿宋" w:eastAsia="仿宋" w:cs="仿宋"/>
          <w:spacing w:val="9"/>
          <w:sz w:val="32"/>
          <w:szCs w:val="32"/>
          <w:lang w:val="en-US" w:eastAsia="zh-CN"/>
        </w:rPr>
        <w:t>为优秀</w:t>
      </w:r>
      <w:r>
        <w:rPr>
          <w:rFonts w:hint="eastAsia" w:ascii="仿宋" w:hAnsi="仿宋" w:eastAsia="仿宋" w:cs="仿宋"/>
          <w:spacing w:val="9"/>
          <w:sz w:val="32"/>
          <w:szCs w:val="32"/>
        </w:rPr>
        <w:t>。</w:t>
      </w:r>
    </w:p>
    <w:p w14:paraId="2C6B1B81">
      <w:pPr>
        <w:snapToGrid w:val="0"/>
        <w:spacing w:beforeLines="0" w:afterLines="0" w:line="360" w:lineRule="auto"/>
        <w:ind w:firstLine="643" w:firstLineChars="200"/>
        <w:rPr>
          <w:rFonts w:hint="eastAsia" w:ascii="楷体" w:hAnsi="楷体" w:eastAsia="楷体" w:cs="楷体"/>
          <w:b/>
          <w:bCs/>
          <w:sz w:val="32"/>
          <w:szCs w:val="32"/>
        </w:rPr>
      </w:pPr>
      <w:r>
        <w:rPr>
          <w:rFonts w:hint="eastAsia" w:ascii="楷体" w:hAnsi="楷体" w:eastAsia="楷体" w:cs="楷体"/>
          <w:b/>
          <w:bCs/>
          <w:sz w:val="32"/>
          <w:szCs w:val="32"/>
        </w:rPr>
        <w:t>（二）资金使用绩效</w:t>
      </w:r>
    </w:p>
    <w:p w14:paraId="01379E59">
      <w:pPr>
        <w:snapToGrid w:val="0"/>
        <w:spacing w:beforeLines="0" w:afterLines="0" w:line="360" w:lineRule="auto"/>
        <w:ind w:firstLine="640" w:firstLineChars="200"/>
        <w:rPr>
          <w:rFonts w:hint="eastAsia" w:ascii="仿宋_GB2312" w:eastAsia="仿宋_GB2312"/>
          <w:sz w:val="32"/>
          <w:szCs w:val="32"/>
        </w:rPr>
      </w:pPr>
      <w:r>
        <w:rPr>
          <w:rFonts w:hint="eastAsia" w:ascii="仿宋_GB2312" w:eastAsia="仿宋_GB2312"/>
          <w:sz w:val="32"/>
          <w:szCs w:val="32"/>
        </w:rPr>
        <w:t xml:space="preserve">  1.资金支出情况。</w:t>
      </w:r>
    </w:p>
    <w:p w14:paraId="42F1B43D">
      <w:pPr>
        <w:spacing w:line="600" w:lineRule="exact"/>
        <w:ind w:firstLine="640" w:firstLineChars="200"/>
        <w:rPr>
          <w:rFonts w:hint="eastAsia" w:eastAsia="仿宋"/>
          <w:spacing w:val="9"/>
          <w:lang w:eastAsia="zh-CN"/>
        </w:rPr>
      </w:pPr>
      <w:r>
        <w:rPr>
          <w:rFonts w:hint="eastAsia" w:ascii="仿宋" w:hAnsi="仿宋" w:eastAsia="仿宋" w:cs="仿宋"/>
          <w:sz w:val="32"/>
          <w:szCs w:val="32"/>
          <w:lang w:val="en-US" w:eastAsia="zh-CN"/>
        </w:rPr>
        <w:t>2021-2025年</w:t>
      </w:r>
      <w:r>
        <w:rPr>
          <w:rFonts w:hint="eastAsia" w:ascii="仿宋" w:hAnsi="仿宋" w:eastAsia="仿宋" w:cs="仿宋"/>
          <w:sz w:val="32"/>
          <w:szCs w:val="32"/>
          <w:lang w:val="en-US" w:eastAsia="en-US"/>
        </w:rPr>
        <w:t>基础教育质量监测、督导评估及特色专项</w:t>
      </w:r>
      <w:r>
        <w:rPr>
          <w:rFonts w:hint="eastAsia" w:ascii="仿宋" w:hAnsi="仿宋" w:eastAsia="仿宋" w:cs="仿宋"/>
          <w:sz w:val="32"/>
          <w:szCs w:val="32"/>
          <w:lang w:val="en-US" w:eastAsia="zh-CN"/>
        </w:rPr>
        <w:t>到账金额共计68</w:t>
      </w:r>
      <w:r>
        <w:rPr>
          <w:rFonts w:hint="eastAsia" w:ascii="仿宋" w:hAnsi="仿宋" w:eastAsia="仿宋" w:cs="仿宋"/>
          <w:sz w:val="32"/>
          <w:szCs w:val="32"/>
          <w:lang w:val="en-US" w:eastAsia="en-US"/>
        </w:rPr>
        <w:t>万元。截至</w:t>
      </w:r>
      <w:r>
        <w:rPr>
          <w:rFonts w:hint="eastAsia" w:ascii="仿宋" w:hAnsi="仿宋" w:eastAsia="仿宋" w:cs="仿宋"/>
          <w:sz w:val="32"/>
          <w:szCs w:val="32"/>
          <w:lang w:val="en-US" w:eastAsia="zh-CN"/>
        </w:rPr>
        <w:t>2</w:t>
      </w:r>
      <w:r>
        <w:rPr>
          <w:rFonts w:hint="eastAsia" w:ascii="仿宋" w:hAnsi="仿宋" w:eastAsia="仿宋" w:cs="仿宋"/>
          <w:sz w:val="32"/>
          <w:szCs w:val="32"/>
          <w:lang w:val="en-US" w:eastAsia="en-US"/>
        </w:rPr>
        <w:t>02</w:t>
      </w:r>
      <w:r>
        <w:rPr>
          <w:rFonts w:hint="eastAsia" w:ascii="仿宋" w:hAnsi="仿宋" w:eastAsia="仿宋" w:cs="仿宋"/>
          <w:sz w:val="32"/>
          <w:szCs w:val="32"/>
          <w:lang w:val="en-US" w:eastAsia="zh-CN"/>
        </w:rPr>
        <w:t>5</w:t>
      </w:r>
      <w:r>
        <w:rPr>
          <w:rFonts w:hint="eastAsia" w:ascii="仿宋" w:hAnsi="仿宋" w:eastAsia="仿宋" w:cs="仿宋"/>
          <w:sz w:val="32"/>
          <w:szCs w:val="32"/>
          <w:lang w:val="en-US" w:eastAsia="en-US"/>
        </w:rPr>
        <w:t>年</w:t>
      </w:r>
      <w:r>
        <w:rPr>
          <w:rFonts w:hint="eastAsia" w:ascii="仿宋" w:hAnsi="仿宋" w:eastAsia="仿宋" w:cs="仿宋"/>
          <w:sz w:val="32"/>
          <w:szCs w:val="32"/>
          <w:lang w:val="en-US" w:eastAsia="zh-CN"/>
        </w:rPr>
        <w:t>3</w:t>
      </w:r>
      <w:r>
        <w:rPr>
          <w:rFonts w:hint="eastAsia" w:ascii="仿宋" w:hAnsi="仿宋" w:eastAsia="仿宋" w:cs="仿宋"/>
          <w:sz w:val="32"/>
          <w:szCs w:val="32"/>
          <w:lang w:val="en-US" w:eastAsia="en-US"/>
        </w:rPr>
        <w:t>月</w:t>
      </w:r>
      <w:r>
        <w:rPr>
          <w:rFonts w:hint="eastAsia" w:ascii="仿宋" w:hAnsi="仿宋" w:eastAsia="仿宋" w:cs="仿宋"/>
          <w:sz w:val="32"/>
          <w:szCs w:val="32"/>
          <w:lang w:val="en-US" w:eastAsia="zh-CN"/>
        </w:rPr>
        <w:t>31日，</w:t>
      </w:r>
      <w:r>
        <w:rPr>
          <w:rFonts w:hint="eastAsia" w:ascii="仿宋" w:hAnsi="仿宋" w:eastAsia="仿宋" w:cs="仿宋"/>
          <w:sz w:val="32"/>
          <w:szCs w:val="32"/>
          <w:lang w:val="en-US" w:eastAsia="en-US"/>
        </w:rPr>
        <w:t>资金总支出</w:t>
      </w:r>
      <w:r>
        <w:rPr>
          <w:rFonts w:hint="eastAsia" w:ascii="仿宋" w:hAnsi="仿宋" w:eastAsia="仿宋" w:cs="仿宋"/>
          <w:sz w:val="32"/>
          <w:szCs w:val="32"/>
          <w:lang w:val="en-US" w:eastAsia="zh-CN"/>
        </w:rPr>
        <w:t>29.26</w:t>
      </w:r>
      <w:r>
        <w:rPr>
          <w:rFonts w:hint="eastAsia" w:ascii="仿宋" w:hAnsi="仿宋" w:eastAsia="仿宋" w:cs="仿宋"/>
          <w:sz w:val="32"/>
          <w:szCs w:val="32"/>
          <w:lang w:val="en-US" w:eastAsia="en-US"/>
        </w:rPr>
        <w:t>万元，资金总支出率为</w:t>
      </w:r>
      <w:r>
        <w:rPr>
          <w:rFonts w:hint="eastAsia" w:ascii="仿宋" w:hAnsi="仿宋" w:eastAsia="仿宋" w:cs="仿宋"/>
          <w:sz w:val="32"/>
          <w:szCs w:val="32"/>
          <w:lang w:val="en-US" w:eastAsia="zh-CN"/>
        </w:rPr>
        <w:t>43</w:t>
      </w:r>
      <w:r>
        <w:rPr>
          <w:rFonts w:hint="eastAsia" w:ascii="仿宋" w:hAnsi="仿宋" w:eastAsia="仿宋" w:cs="仿宋"/>
          <w:sz w:val="32"/>
          <w:szCs w:val="32"/>
          <w:lang w:val="en-US" w:eastAsia="en-US"/>
        </w:rPr>
        <w:t>%</w:t>
      </w:r>
      <w:r>
        <w:rPr>
          <w:rFonts w:hint="eastAsia" w:ascii="仿宋" w:hAnsi="仿宋" w:eastAsia="仿宋" w:cs="仿宋"/>
          <w:sz w:val="32"/>
          <w:szCs w:val="32"/>
          <w:lang w:val="en-US" w:eastAsia="zh-CN"/>
        </w:rPr>
        <w:t>。在资金使用过程中严格遵循学校财务</w:t>
      </w:r>
      <w:r>
        <w:rPr>
          <w:rFonts w:hint="eastAsia" w:ascii="仿宋" w:hAnsi="仿宋" w:eastAsia="仿宋" w:cs="仿宋"/>
          <w:sz w:val="32"/>
          <w:szCs w:val="32"/>
          <w:lang w:val="en-US" w:eastAsia="en-US"/>
        </w:rPr>
        <w:t>制度及项目资金使用管理规定，</w:t>
      </w:r>
      <w:r>
        <w:rPr>
          <w:rFonts w:hint="eastAsia" w:ascii="仿宋" w:hAnsi="仿宋" w:eastAsia="仿宋" w:cs="仿宋"/>
          <w:b w:val="0"/>
          <w:bCs w:val="0"/>
          <w:sz w:val="32"/>
          <w:szCs w:val="32"/>
          <w:lang w:eastAsia="en-US"/>
        </w:rPr>
        <w:t>全部资金主要用于</w:t>
      </w:r>
      <w:r>
        <w:rPr>
          <w:rFonts w:hint="eastAsia" w:ascii="仿宋" w:hAnsi="仿宋" w:eastAsia="仿宋" w:cs="仿宋"/>
          <w:sz w:val="32"/>
          <w:szCs w:val="32"/>
          <w:lang w:eastAsia="en-US"/>
        </w:rPr>
        <w:t>支付项目的</w:t>
      </w:r>
      <w:r>
        <w:rPr>
          <w:rFonts w:hint="eastAsia" w:ascii="仿宋" w:hAnsi="仿宋" w:eastAsia="仿宋" w:cs="仿宋"/>
          <w:sz w:val="32"/>
          <w:szCs w:val="32"/>
          <w:lang w:val="en-US" w:eastAsia="en-US"/>
        </w:rPr>
        <w:t>差旅费</w:t>
      </w:r>
      <w:r>
        <w:rPr>
          <w:rFonts w:hint="eastAsia" w:ascii="仿宋" w:hAnsi="仿宋" w:eastAsia="仿宋" w:cs="仿宋"/>
          <w:sz w:val="32"/>
          <w:szCs w:val="32"/>
          <w:lang w:eastAsia="en-US"/>
        </w:rPr>
        <w:t>、</w:t>
      </w:r>
      <w:r>
        <w:rPr>
          <w:rFonts w:hint="eastAsia" w:ascii="仿宋" w:hAnsi="仿宋" w:eastAsia="仿宋" w:cs="仿宋"/>
          <w:sz w:val="32"/>
          <w:szCs w:val="32"/>
          <w:lang w:val="en-US" w:eastAsia="en-US"/>
        </w:rPr>
        <w:t>宣传费</w:t>
      </w:r>
      <w:r>
        <w:rPr>
          <w:rFonts w:hint="eastAsia" w:ascii="仿宋" w:hAnsi="仿宋" w:eastAsia="仿宋" w:cs="仿宋"/>
          <w:sz w:val="32"/>
          <w:szCs w:val="32"/>
          <w:lang w:eastAsia="en-US"/>
        </w:rPr>
        <w:t>、交通费、</w:t>
      </w:r>
      <w:r>
        <w:rPr>
          <w:rFonts w:hint="eastAsia" w:ascii="仿宋" w:hAnsi="仿宋" w:eastAsia="仿宋" w:cs="仿宋"/>
          <w:sz w:val="32"/>
          <w:szCs w:val="32"/>
          <w:lang w:val="en-US" w:eastAsia="en-US"/>
        </w:rPr>
        <w:t>培训</w:t>
      </w:r>
      <w:r>
        <w:rPr>
          <w:rFonts w:hint="eastAsia" w:ascii="仿宋" w:hAnsi="仿宋" w:eastAsia="仿宋" w:cs="仿宋"/>
          <w:sz w:val="32"/>
          <w:szCs w:val="32"/>
          <w:lang w:eastAsia="en-US"/>
        </w:rPr>
        <w:t>费、其他费用等</w:t>
      </w:r>
      <w:r>
        <w:rPr>
          <w:rFonts w:hint="eastAsia" w:ascii="仿宋" w:hAnsi="仿宋" w:eastAsia="仿宋" w:cs="仿宋"/>
          <w:sz w:val="32"/>
          <w:szCs w:val="32"/>
          <w:lang w:val="en-US" w:eastAsia="en-US"/>
        </w:rPr>
        <w:t>帮扶成本</w:t>
      </w:r>
      <w:r>
        <w:rPr>
          <w:rFonts w:hint="eastAsia" w:ascii="仿宋" w:hAnsi="仿宋" w:eastAsia="仿宋" w:cs="仿宋"/>
          <w:sz w:val="32"/>
          <w:szCs w:val="32"/>
          <w:lang w:eastAsia="en-US"/>
        </w:rPr>
        <w:t>费用。2021年大学生暑期社会实践</w:t>
      </w:r>
      <w:r>
        <w:rPr>
          <w:rFonts w:hint="eastAsia" w:ascii="仿宋" w:hAnsi="仿宋" w:eastAsia="仿宋" w:cs="仿宋"/>
          <w:sz w:val="32"/>
          <w:szCs w:val="32"/>
          <w:lang w:val="en-US" w:eastAsia="en-US"/>
        </w:rPr>
        <w:t>活动支出费用6.96万元</w:t>
      </w:r>
      <w:r>
        <w:rPr>
          <w:rFonts w:hint="eastAsia" w:ascii="仿宋" w:hAnsi="仿宋" w:eastAsia="仿宋" w:cs="仿宋"/>
          <w:sz w:val="32"/>
          <w:szCs w:val="32"/>
          <w:lang w:val="en-US" w:eastAsia="zh-CN"/>
        </w:rPr>
        <w:t>；</w:t>
      </w:r>
      <w:r>
        <w:rPr>
          <w:rFonts w:hint="eastAsia" w:ascii="仿宋" w:hAnsi="仿宋" w:eastAsia="仿宋" w:cs="仿宋"/>
          <w:b w:val="0"/>
          <w:bCs w:val="0"/>
          <w:spacing w:val="0"/>
          <w:kern w:val="0"/>
          <w:sz w:val="32"/>
          <w:szCs w:val="32"/>
          <w:lang w:val="en-US" w:eastAsia="en-US"/>
        </w:rPr>
        <w:t>2021年中至2022年受制于疫情影响，造成16万元</w:t>
      </w:r>
      <w:r>
        <w:rPr>
          <w:rFonts w:hint="eastAsia" w:ascii="仿宋" w:hAnsi="仿宋" w:eastAsia="仿宋" w:cs="仿宋"/>
          <w:sz w:val="32"/>
          <w:szCs w:val="32"/>
          <w:lang w:eastAsia="en-US"/>
        </w:rPr>
        <w:t>学校“结对子”补助经费</w:t>
      </w:r>
      <w:r>
        <w:rPr>
          <w:rFonts w:hint="eastAsia" w:ascii="仿宋" w:hAnsi="仿宋" w:eastAsia="仿宋" w:cs="仿宋"/>
          <w:sz w:val="32"/>
          <w:szCs w:val="32"/>
          <w:lang w:val="en-US" w:eastAsia="zh-CN"/>
        </w:rPr>
        <w:t>以及</w:t>
      </w:r>
      <w:r>
        <w:rPr>
          <w:rFonts w:hint="eastAsia" w:ascii="仿宋" w:hAnsi="仿宋" w:eastAsia="仿宋" w:cs="仿宋"/>
          <w:sz w:val="32"/>
          <w:szCs w:val="32"/>
        </w:rPr>
        <w:t>对口帮扶黑龙江职教协作</w:t>
      </w:r>
      <w:r>
        <w:rPr>
          <w:rFonts w:hint="eastAsia" w:ascii="仿宋" w:hAnsi="仿宋" w:eastAsia="仿宋" w:cs="仿宋"/>
          <w:sz w:val="32"/>
          <w:szCs w:val="32"/>
          <w:lang w:val="en-US" w:eastAsia="zh-CN"/>
        </w:rPr>
        <w:t>项目6万元无法完成任务；</w:t>
      </w:r>
      <w:r>
        <w:rPr>
          <w:rFonts w:hint="eastAsia" w:ascii="仿宋" w:hAnsi="仿宋" w:eastAsia="仿宋" w:cs="仿宋"/>
          <w:spacing w:val="0"/>
          <w:sz w:val="32"/>
          <w:szCs w:val="32"/>
          <w:lang w:eastAsia="en-US"/>
        </w:rPr>
        <w:t>202</w:t>
      </w:r>
      <w:r>
        <w:rPr>
          <w:rFonts w:hint="eastAsia" w:ascii="仿宋" w:hAnsi="仿宋" w:eastAsia="仿宋" w:cs="仿宋"/>
          <w:spacing w:val="0"/>
          <w:sz w:val="32"/>
          <w:szCs w:val="32"/>
          <w:lang w:val="en-US" w:eastAsia="en-US"/>
        </w:rPr>
        <w:t>3</w:t>
      </w:r>
      <w:r>
        <w:rPr>
          <w:rFonts w:hint="eastAsia" w:ascii="仿宋" w:hAnsi="仿宋" w:eastAsia="仿宋" w:cs="仿宋"/>
          <w:spacing w:val="0"/>
          <w:sz w:val="32"/>
          <w:szCs w:val="32"/>
          <w:lang w:eastAsia="en-US"/>
        </w:rPr>
        <w:t>年</w:t>
      </w:r>
      <w:r>
        <w:rPr>
          <w:rFonts w:hint="eastAsia" w:ascii="仿宋" w:hAnsi="仿宋" w:eastAsia="仿宋" w:cs="仿宋"/>
          <w:spacing w:val="0"/>
          <w:sz w:val="32"/>
          <w:szCs w:val="32"/>
          <w:lang w:val="en-US" w:eastAsia="en-US"/>
        </w:rPr>
        <w:t>项目支出7.31</w:t>
      </w:r>
      <w:r>
        <w:rPr>
          <w:rFonts w:hint="eastAsia" w:ascii="仿宋" w:hAnsi="仿宋" w:eastAsia="仿宋" w:cs="仿宋"/>
          <w:spacing w:val="0"/>
          <w:sz w:val="32"/>
          <w:szCs w:val="32"/>
          <w:lang w:eastAsia="en-US"/>
        </w:rPr>
        <w:t>万元</w:t>
      </w:r>
      <w:r>
        <w:rPr>
          <w:rFonts w:hint="eastAsia" w:ascii="仿宋" w:hAnsi="仿宋" w:eastAsia="仿宋" w:cs="仿宋"/>
          <w:spacing w:val="0"/>
          <w:sz w:val="32"/>
          <w:szCs w:val="32"/>
          <w:lang w:val="en-US" w:eastAsia="en-US"/>
        </w:rPr>
        <w:t>主要开支为</w:t>
      </w:r>
      <w:r>
        <w:rPr>
          <w:rFonts w:hint="eastAsia" w:ascii="仿宋" w:hAnsi="仿宋" w:eastAsia="仿宋" w:cs="仿宋"/>
          <w:spacing w:val="0"/>
          <w:sz w:val="32"/>
          <w:szCs w:val="32"/>
          <w:lang w:val="en-US" w:eastAsia="zh-CN"/>
        </w:rPr>
        <w:t>：</w:t>
      </w:r>
      <w:r>
        <w:rPr>
          <w:rFonts w:hint="eastAsia" w:ascii="仿宋" w:hAnsi="仿宋" w:eastAsia="仿宋" w:cs="仿宋"/>
          <w:spacing w:val="0"/>
          <w:sz w:val="32"/>
          <w:szCs w:val="32"/>
          <w:lang w:val="en-US" w:eastAsia="en-US"/>
        </w:rPr>
        <w:t>赴教育部开展协作工作（甘肃）、林芝教育大会、赴惠来教育局、揭阳、赴西藏林芝职业</w:t>
      </w:r>
      <w:r>
        <w:rPr>
          <w:rFonts w:hint="eastAsia" w:ascii="仿宋" w:hAnsi="仿宋" w:eastAsia="仿宋" w:cs="仿宋"/>
          <w:spacing w:val="0"/>
          <w:sz w:val="32"/>
          <w:szCs w:val="32"/>
          <w:lang w:val="en-US" w:eastAsia="zh-CN"/>
        </w:rPr>
        <w:t>技术</w:t>
      </w:r>
      <w:r>
        <w:rPr>
          <w:rFonts w:hint="eastAsia" w:ascii="仿宋" w:hAnsi="仿宋" w:eastAsia="仿宋" w:cs="仿宋"/>
          <w:spacing w:val="0"/>
          <w:sz w:val="32"/>
          <w:szCs w:val="32"/>
          <w:lang w:val="en-US" w:eastAsia="en-US"/>
        </w:rPr>
        <w:t>学</w:t>
      </w:r>
      <w:r>
        <w:rPr>
          <w:rFonts w:hint="eastAsia" w:ascii="仿宋" w:hAnsi="仿宋" w:eastAsia="仿宋" w:cs="仿宋"/>
          <w:spacing w:val="0"/>
          <w:sz w:val="32"/>
          <w:szCs w:val="32"/>
          <w:lang w:val="en-US" w:eastAsia="zh-CN"/>
        </w:rPr>
        <w:t>院</w:t>
      </w:r>
      <w:r>
        <w:rPr>
          <w:rFonts w:hint="eastAsia" w:ascii="仿宋" w:hAnsi="仿宋" w:eastAsia="仿宋" w:cs="仿宋"/>
          <w:spacing w:val="0"/>
          <w:sz w:val="32"/>
          <w:szCs w:val="32"/>
          <w:lang w:val="en-US" w:eastAsia="en-US"/>
        </w:rPr>
        <w:t>对口支持专业建设等差旅费</w:t>
      </w:r>
      <w:r>
        <w:rPr>
          <w:rFonts w:hint="eastAsia" w:ascii="仿宋" w:hAnsi="仿宋" w:eastAsia="仿宋" w:cs="仿宋"/>
          <w:spacing w:val="0"/>
          <w:sz w:val="32"/>
          <w:szCs w:val="32"/>
          <w:lang w:val="en-US" w:eastAsia="zh-CN"/>
        </w:rPr>
        <w:t>；</w:t>
      </w:r>
      <w:r>
        <w:rPr>
          <w:rFonts w:hint="eastAsia" w:ascii="仿宋" w:hAnsi="仿宋" w:eastAsia="仿宋" w:cs="仿宋"/>
          <w:spacing w:val="0"/>
          <w:sz w:val="32"/>
          <w:szCs w:val="32"/>
          <w:lang w:val="en-US" w:eastAsia="en-US"/>
        </w:rPr>
        <w:t>2024年专项</w:t>
      </w:r>
      <w:r>
        <w:rPr>
          <w:rFonts w:hint="eastAsia" w:ascii="仿宋" w:hAnsi="仿宋" w:eastAsia="仿宋" w:cs="仿宋"/>
          <w:sz w:val="32"/>
          <w:szCs w:val="32"/>
          <w:lang w:val="en-US" w:eastAsia="en-US"/>
        </w:rPr>
        <w:t>资金总支出15万元</w:t>
      </w:r>
      <w:r>
        <w:rPr>
          <w:rFonts w:hint="eastAsia" w:ascii="仿宋" w:hAnsi="仿宋" w:eastAsia="仿宋" w:cs="仿宋"/>
          <w:sz w:val="32"/>
          <w:szCs w:val="32"/>
          <w:lang w:val="en-US" w:eastAsia="zh-CN"/>
        </w:rPr>
        <w:t>，15万元专项资金主要用于以下方面：一是教育人才培训帮扶，为对口帮扶的化州市、揭阳市惠来县、肇庆市德庆县等地组织相关人员参加专业技能培训，花费10.52万元。二是产业扶持，用于支持当地特色产业项目的调研、规划、农业科技指导及宣传等花费4.48万元。2025年专项资金15万元将继续用于完成</w:t>
      </w:r>
      <w:r>
        <w:rPr>
          <w:rFonts w:hint="eastAsia" w:ascii="仿宋" w:hAnsi="仿宋" w:eastAsia="仿宋" w:cs="仿宋"/>
          <w:sz w:val="32"/>
          <w:szCs w:val="32"/>
        </w:rPr>
        <w:t>广轻大</w:t>
      </w:r>
      <w:r>
        <w:rPr>
          <w:rFonts w:hint="eastAsia" w:ascii="仿宋" w:hAnsi="仿宋" w:eastAsia="仿宋" w:cs="仿宋"/>
          <w:sz w:val="32"/>
          <w:szCs w:val="32"/>
          <w:lang w:eastAsia="zh-CN"/>
        </w:rPr>
        <w:t>“</w:t>
      </w:r>
      <w:r>
        <w:rPr>
          <w:rFonts w:hint="eastAsia" w:ascii="仿宋" w:hAnsi="仿宋" w:eastAsia="仿宋" w:cs="仿宋"/>
          <w:sz w:val="32"/>
          <w:szCs w:val="32"/>
        </w:rPr>
        <w:t>两全一融</w:t>
      </w:r>
      <w:r>
        <w:rPr>
          <w:rFonts w:hint="eastAsia" w:ascii="仿宋" w:hAnsi="仿宋" w:eastAsia="仿宋" w:cs="仿宋"/>
          <w:sz w:val="32"/>
          <w:szCs w:val="32"/>
          <w:lang w:eastAsia="zh-CN"/>
        </w:rPr>
        <w:t>”</w:t>
      </w:r>
      <w:r>
        <w:rPr>
          <w:rFonts w:hint="eastAsia" w:ascii="仿宋" w:hAnsi="仿宋" w:eastAsia="仿宋" w:cs="仿宋"/>
          <w:sz w:val="32"/>
          <w:szCs w:val="32"/>
        </w:rPr>
        <w:t>帮扶工作</w:t>
      </w:r>
      <w:r>
        <w:rPr>
          <w:rFonts w:hint="eastAsia" w:ascii="仿宋" w:hAnsi="仿宋" w:eastAsia="仿宋" w:cs="仿宋"/>
          <w:sz w:val="32"/>
          <w:szCs w:val="32"/>
          <w:lang w:val="en-US" w:eastAsia="zh-CN"/>
        </w:rPr>
        <w:t>上。</w:t>
      </w:r>
    </w:p>
    <w:p w14:paraId="1F78522A">
      <w:pPr>
        <w:snapToGrid w:val="0"/>
        <w:spacing w:beforeLines="0" w:afterLines="0" w:line="360" w:lineRule="auto"/>
        <w:ind w:firstLine="640" w:firstLineChars="200"/>
        <w:rPr>
          <w:rFonts w:hint="eastAsia" w:ascii="仿宋_GB2312" w:eastAsia="仿宋_GB2312"/>
          <w:sz w:val="32"/>
          <w:szCs w:val="32"/>
        </w:rPr>
      </w:pPr>
      <w:r>
        <w:rPr>
          <w:rFonts w:hint="eastAsia" w:ascii="仿宋_GB2312" w:eastAsia="仿宋_GB2312"/>
          <w:sz w:val="32"/>
          <w:szCs w:val="32"/>
        </w:rPr>
        <w:t xml:space="preserve">  2.资金完成绩效目标情况。</w:t>
      </w:r>
    </w:p>
    <w:p w14:paraId="6A577392">
      <w:pPr>
        <w:snapToGrid w:val="0"/>
        <w:spacing w:before="176" w:beforeLines="0" w:afterLines="0" w:line="360" w:lineRule="auto"/>
        <w:ind w:right="83" w:firstLine="640" w:firstLineChars="200"/>
        <w:rPr>
          <w:rFonts w:hint="eastAsia" w:ascii="仿宋" w:hAnsi="仿宋" w:eastAsia="仿宋" w:cs="仿宋"/>
          <w:spacing w:val="0"/>
          <w:sz w:val="32"/>
          <w:szCs w:val="32"/>
          <w:lang w:val="en-US" w:eastAsia="zh-CN"/>
        </w:rPr>
      </w:pPr>
      <w:r>
        <w:rPr>
          <w:rFonts w:hint="eastAsia" w:ascii="仿宋" w:hAnsi="仿宋" w:eastAsia="仿宋" w:cs="仿宋"/>
          <w:spacing w:val="0"/>
          <w:sz w:val="32"/>
          <w:szCs w:val="32"/>
          <w:lang w:val="en-US" w:eastAsia="zh-CN"/>
        </w:rPr>
        <w:t>专项资金绩效目标达到基本预期目标值。</w:t>
      </w:r>
    </w:p>
    <w:p w14:paraId="7C9EB472">
      <w:pPr>
        <w:snapToGrid w:val="0"/>
        <w:spacing w:beforeLines="0" w:afterLines="0" w:line="360" w:lineRule="auto"/>
        <w:ind w:firstLine="640" w:firstLineChars="200"/>
        <w:rPr>
          <w:rFonts w:hint="eastAsia" w:ascii="仿宋_GB2312" w:eastAsia="仿宋_GB2312"/>
          <w:sz w:val="32"/>
          <w:szCs w:val="32"/>
        </w:rPr>
      </w:pPr>
      <w:r>
        <w:rPr>
          <w:rFonts w:hint="eastAsia" w:ascii="仿宋_GB2312" w:eastAsia="仿宋_GB2312"/>
          <w:sz w:val="32"/>
          <w:szCs w:val="32"/>
        </w:rPr>
        <w:t xml:space="preserve">  3.资金分用途使用绩效。</w:t>
      </w:r>
    </w:p>
    <w:p w14:paraId="7C81FEA1">
      <w:pPr>
        <w:keepNext w:val="0"/>
        <w:keepLines w:val="0"/>
        <w:pageBreakBefore w:val="0"/>
        <w:widowControl w:val="0"/>
        <w:kinsoku/>
        <w:wordWrap/>
        <w:overflowPunct/>
        <w:topLinePunct w:val="0"/>
        <w:autoSpaceDE/>
        <w:autoSpaceDN/>
        <w:bidi w:val="0"/>
        <w:adjustRightInd w:val="0"/>
        <w:snapToGrid w:val="0"/>
        <w:spacing w:beforeAutospacing="0" w:afterAutospacing="0" w:line="600" w:lineRule="exact"/>
        <w:ind w:right="0" w:firstLine="640" w:firstLineChars="200"/>
        <w:jc w:val="both"/>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（1）举办对口帮扶惠来县教育局举办中小学校长干部提升师资培训班共 3 期，吸引了惠来县  所中小学校校长干部参加，</w:t>
      </w:r>
      <w:r>
        <w:rPr>
          <w:rFonts w:hint="eastAsia" w:ascii="仿宋" w:hAnsi="仿宋" w:eastAsia="仿宋" w:cs="仿宋"/>
          <w:sz w:val="32"/>
          <w:szCs w:val="32"/>
        </w:rPr>
        <w:t>有效提升了当地</w:t>
      </w:r>
      <w:r>
        <w:rPr>
          <w:rFonts w:hint="eastAsia" w:ascii="仿宋" w:hAnsi="仿宋" w:eastAsia="仿宋" w:cs="仿宋"/>
          <w:sz w:val="32"/>
          <w:szCs w:val="32"/>
          <w:lang w:val="en-US" w:eastAsia="zh-CN"/>
        </w:rPr>
        <w:t>教育管理</w:t>
      </w:r>
      <w:r>
        <w:rPr>
          <w:rFonts w:hint="eastAsia" w:ascii="仿宋" w:hAnsi="仿宋" w:eastAsia="仿宋" w:cs="仿宋"/>
          <w:sz w:val="32"/>
          <w:szCs w:val="32"/>
        </w:rPr>
        <w:t>人员的专业技能和综合素质。组建由我校副校长任组长，各有关专家教授任组员的“惠来中小学校长领导力提升工作小组”，并4次赴当地中小学，调研了解学校发展现状，开展办学质量诊断，帮扶指导当地学校领导班子厘清办学思路和专业建设举措，全面提升学校教育管理能力。各项既定</w:t>
      </w:r>
      <w:r>
        <w:rPr>
          <w:rFonts w:hint="eastAsia" w:ascii="仿宋" w:hAnsi="仿宋" w:eastAsia="仿宋" w:cs="仿宋"/>
          <w:sz w:val="32"/>
          <w:szCs w:val="32"/>
          <w:lang w:val="en-US" w:eastAsia="zh-CN"/>
        </w:rPr>
        <w:t>帮扶培训</w:t>
      </w:r>
      <w:r>
        <w:rPr>
          <w:rFonts w:hint="eastAsia" w:ascii="仿宋" w:hAnsi="仿宋" w:eastAsia="仿宋" w:cs="仿宋"/>
          <w:sz w:val="32"/>
          <w:szCs w:val="32"/>
        </w:rPr>
        <w:t>目标均已超额完成</w:t>
      </w:r>
      <w:r>
        <w:rPr>
          <w:rFonts w:hint="eastAsia" w:ascii="仿宋" w:hAnsi="仿宋" w:eastAsia="仿宋" w:cs="仿宋"/>
          <w:sz w:val="32"/>
          <w:szCs w:val="32"/>
          <w:lang w:val="en-US" w:eastAsia="zh-CN"/>
        </w:rPr>
        <w:t>；积极响应</w:t>
      </w:r>
      <w:r>
        <w:rPr>
          <w:rFonts w:hint="eastAsia" w:ascii="仿宋" w:hAnsi="仿宋" w:eastAsia="仿宋" w:cs="仿宋"/>
          <w:sz w:val="32"/>
          <w:szCs w:val="32"/>
          <w:lang w:val="en-US" w:eastAsia="en-US"/>
        </w:rPr>
        <w:t>广东省推动基础教育高质量发展行动</w:t>
      </w:r>
      <w:r>
        <w:rPr>
          <w:rFonts w:hint="eastAsia" w:ascii="仿宋" w:hAnsi="仿宋" w:eastAsia="仿宋" w:cs="仿宋"/>
          <w:sz w:val="32"/>
          <w:szCs w:val="32"/>
          <w:lang w:val="en-US" w:eastAsia="zh-CN"/>
        </w:rPr>
        <w:t>，赴德庆参加</w:t>
      </w:r>
      <w:r>
        <w:rPr>
          <w:rFonts w:hint="eastAsia" w:ascii="仿宋" w:hAnsi="仿宋" w:eastAsia="仿宋" w:cs="仿宋"/>
          <w:sz w:val="32"/>
          <w:szCs w:val="32"/>
        </w:rPr>
        <w:t>贡柑节</w:t>
      </w:r>
      <w:r>
        <w:rPr>
          <w:rFonts w:hint="eastAsia" w:ascii="仿宋" w:hAnsi="仿宋" w:eastAsia="仿宋" w:cs="仿宋"/>
          <w:sz w:val="32"/>
          <w:szCs w:val="32"/>
          <w:lang w:val="en-US" w:eastAsia="zh-CN"/>
        </w:rPr>
        <w:t>乡村振兴</w:t>
      </w:r>
      <w:r>
        <w:rPr>
          <w:rFonts w:hint="eastAsia" w:ascii="仿宋" w:hAnsi="仿宋" w:eastAsia="仿宋" w:cs="仿宋"/>
          <w:sz w:val="32"/>
          <w:szCs w:val="32"/>
        </w:rPr>
        <w:t>活动</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赴湛江参加</w:t>
      </w:r>
      <w:r>
        <w:rPr>
          <w:rFonts w:hint="eastAsia" w:ascii="仿宋" w:hAnsi="仿宋" w:eastAsia="仿宋" w:cs="仿宋"/>
          <w:sz w:val="32"/>
          <w:szCs w:val="32"/>
        </w:rPr>
        <w:t>双百行动产业</w:t>
      </w:r>
      <w:r>
        <w:rPr>
          <w:rFonts w:hint="eastAsia" w:ascii="仿宋" w:hAnsi="仿宋" w:eastAsia="仿宋" w:cs="仿宋"/>
          <w:sz w:val="32"/>
          <w:szCs w:val="32"/>
          <w:lang w:val="en-US" w:eastAsia="zh-CN"/>
        </w:rPr>
        <w:t>联盟活动等开展乡村产业帮扶活动。我们以 15 万元财政专项资金为杠杆，积极整合各方资源，吸引了高校自有资金、横向科研技术合作等投入到帮扶工作中，使帮扶产能远远超过了财政专项资金。同时，在帮扶地域上，我们不仅圆满完成了对贵州、西藏的帮扶任务，还将帮扶工作做深、做实，扎根本土，为更多地区的发展贡献了力量。通过一系列帮扶措施的实施，切实改善了帮扶地区的教育、产业技术等条件，</w:t>
      </w:r>
      <w:r>
        <w:rPr>
          <w:rFonts w:hint="eastAsia" w:ascii="仿宋" w:hAnsi="仿宋" w:eastAsia="仿宋" w:cs="仿宋"/>
          <w:sz w:val="32"/>
          <w:szCs w:val="32"/>
        </w:rPr>
        <w:t>为当地培养了一批本土人才，留下了一支带不走的产业发展队伍。</w:t>
      </w:r>
      <w:r>
        <w:rPr>
          <w:rFonts w:hint="eastAsia" w:ascii="仿宋" w:hAnsi="仿宋" w:eastAsia="仿宋" w:cs="仿宋"/>
          <w:sz w:val="32"/>
          <w:szCs w:val="32"/>
          <w:lang w:val="en-US" w:eastAsia="zh-CN"/>
        </w:rPr>
        <w:t>提升了当地群众的生活水平和幸福感，得到了当地政府和群众的高度认可和赞扬，取得了良好的社会效益。</w:t>
      </w:r>
    </w:p>
    <w:p w14:paraId="716E5E23">
      <w:pPr>
        <w:keepNext w:val="0"/>
        <w:keepLines w:val="0"/>
        <w:pageBreakBefore w:val="0"/>
        <w:widowControl w:val="0"/>
        <w:kinsoku/>
        <w:wordWrap/>
        <w:overflowPunct/>
        <w:topLinePunct w:val="0"/>
        <w:autoSpaceDE/>
        <w:autoSpaceDN/>
        <w:bidi w:val="0"/>
        <w:adjustRightInd w:val="0"/>
        <w:snapToGrid w:val="0"/>
        <w:spacing w:beforeAutospacing="0" w:afterAutospacing="0" w:line="600" w:lineRule="exact"/>
        <w:ind w:right="0" w:firstLine="640" w:firstLineChars="200"/>
        <w:jc w:val="both"/>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由马克思学院牵头，协同惠来县三所中学两所小学，建立中小学思政课一体化共同体，推动大中小学思政课一体化教学改革创新，为全省大中小学思政课一体化建设提供可复制可借鉴的经验。推动省思政改革项目在化州落地，首批覆盖化州四所中小学超12000名学生，开展德育骨干师资培训2期，培训43人；帮扶化州职校，2024年争取120名‘3+2’中高职衔接招生名额；开展大学生“三下乡”活动，“希望田野‘百千万工程’突击队”团队获全国重点团队；成立大中小学思政课一体化共同体，第一批化州市、德庆县共有8所学校加入；与化州市职业技术学校、德庆县中等职业学校开展合作办学，确定2024年三二分段招生计划分别为120个、150个。</w:t>
      </w:r>
    </w:p>
    <w:p w14:paraId="7CD2F3C2">
      <w:pPr>
        <w:snapToGrid w:val="0"/>
        <w:spacing w:beforeLines="0" w:afterLines="0" w:line="360" w:lineRule="auto"/>
        <w:ind w:firstLine="643" w:firstLineChars="200"/>
        <w:rPr>
          <w:rFonts w:hint="eastAsia" w:ascii="楷体" w:hAnsi="楷体" w:eastAsia="楷体" w:cs="楷体"/>
          <w:b/>
          <w:bCs/>
          <w:sz w:val="32"/>
          <w:szCs w:val="32"/>
        </w:rPr>
      </w:pPr>
      <w:r>
        <w:rPr>
          <w:rFonts w:hint="eastAsia" w:ascii="楷体" w:hAnsi="楷体" w:eastAsia="楷体" w:cs="楷体"/>
          <w:b/>
          <w:bCs/>
          <w:sz w:val="32"/>
          <w:szCs w:val="32"/>
        </w:rPr>
        <w:t>（三）资金使用绩效存在的问题</w:t>
      </w:r>
    </w:p>
    <w:p w14:paraId="754D916D">
      <w:pPr>
        <w:adjustRightInd w:val="0"/>
        <w:snapToGrid w:val="0"/>
        <w:spacing w:beforeLines="0" w:afterLines="0" w:line="600" w:lineRule="exact"/>
        <w:ind w:firstLine="640" w:firstLineChars="200"/>
        <w:rPr>
          <w:rFonts w:hint="eastAsia" w:ascii="仿宋" w:hAnsi="仿宋" w:eastAsia="仿宋" w:cs="仿宋"/>
          <w:b w:val="0"/>
          <w:bCs w:val="0"/>
          <w:sz w:val="32"/>
          <w:szCs w:val="32"/>
          <w:lang w:val="en-US" w:eastAsia="zh-CN"/>
        </w:rPr>
      </w:pPr>
      <w:r>
        <w:rPr>
          <w:rFonts w:hint="eastAsia" w:ascii="仿宋_GB2312" w:hAnsi="仿宋_GB2312" w:eastAsia="仿宋_GB2312" w:cs="仿宋_GB2312"/>
          <w:color w:val="auto"/>
          <w:kern w:val="2"/>
          <w:sz w:val="32"/>
          <w:szCs w:val="32"/>
          <w:lang w:val="en-US" w:eastAsia="zh-CN"/>
        </w:rPr>
        <w:t>教育帮扶常态机制还不够健全，还需在前瞻规划、系统谋划上下更大功夫。</w:t>
      </w:r>
      <w:r>
        <w:rPr>
          <w:rFonts w:hint="eastAsia" w:ascii="仿宋" w:hAnsi="仿宋" w:eastAsia="仿宋" w:cs="仿宋"/>
          <w:b w:val="0"/>
          <w:bCs w:val="0"/>
          <w:sz w:val="32"/>
          <w:szCs w:val="32"/>
        </w:rPr>
        <w:t>前期摸查核实时间比较长,需要经过论证、规划、招标、建设等环节，程序多、时间长，</w:t>
      </w:r>
      <w:r>
        <w:rPr>
          <w:rFonts w:hint="eastAsia" w:ascii="仿宋" w:hAnsi="仿宋" w:eastAsia="仿宋" w:cs="仿宋"/>
          <w:b w:val="0"/>
          <w:bCs w:val="0"/>
          <w:sz w:val="32"/>
          <w:szCs w:val="32"/>
          <w:lang w:val="en-US" w:eastAsia="zh-CN"/>
        </w:rPr>
        <w:t>资金支出使用进度需总结提升。</w:t>
      </w:r>
    </w:p>
    <w:p w14:paraId="203F6EA1">
      <w:pPr>
        <w:keepNext w:val="0"/>
        <w:keepLines w:val="0"/>
        <w:pageBreakBefore w:val="0"/>
        <w:widowControl/>
        <w:kinsoku/>
        <w:wordWrap/>
        <w:overflowPunct/>
        <w:topLinePunct w:val="0"/>
        <w:autoSpaceDE/>
        <w:autoSpaceDN/>
        <w:bidi w:val="0"/>
        <w:adjustRightInd/>
        <w:snapToGrid w:val="0"/>
        <w:spacing w:beforeLines="0" w:afterLines="0" w:line="360" w:lineRule="auto"/>
        <w:ind w:firstLine="640" w:firstLineChars="200"/>
        <w:textAlignment w:val="auto"/>
        <w:outlineLvl w:val="9"/>
        <w:rPr>
          <w:rFonts w:hint="eastAsia" w:ascii="黑体" w:eastAsia="黑体"/>
          <w:sz w:val="32"/>
          <w:szCs w:val="32"/>
        </w:rPr>
      </w:pPr>
      <w:r>
        <w:rPr>
          <w:rFonts w:hint="eastAsia" w:ascii="黑体" w:eastAsia="黑体"/>
          <w:sz w:val="32"/>
          <w:szCs w:val="32"/>
        </w:rPr>
        <w:t>三、改进意见</w:t>
      </w:r>
    </w:p>
    <w:p w14:paraId="021C7B9F">
      <w:pPr>
        <w:adjustRightInd w:val="0"/>
        <w:snapToGrid w:val="0"/>
        <w:spacing w:line="600" w:lineRule="exact"/>
        <w:ind w:firstLine="640" w:firstLineChars="200"/>
        <w:rPr>
          <w:rFonts w:ascii="仿宋_GB2312" w:hAnsi="黑体" w:eastAsia="仿宋_GB2312" w:cs="Times New Roman"/>
          <w:bCs/>
          <w:sz w:val="28"/>
          <w:szCs w:val="28"/>
        </w:rPr>
      </w:pPr>
      <w:r>
        <w:rPr>
          <w:rFonts w:hint="eastAsia" w:ascii="仿宋" w:hAnsi="仿宋" w:eastAsia="仿宋" w:cs="仿宋"/>
          <w:sz w:val="32"/>
          <w:szCs w:val="32"/>
          <w:lang w:val="en-US" w:eastAsia="zh-CN"/>
        </w:rPr>
        <w:t>加强预算，打通财政专项</w:t>
      </w:r>
      <w:bookmarkStart w:id="4" w:name="_GoBack"/>
      <w:bookmarkEnd w:id="4"/>
      <w:r>
        <w:rPr>
          <w:rFonts w:hint="eastAsia" w:ascii="仿宋" w:hAnsi="仿宋" w:eastAsia="仿宋" w:cs="仿宋"/>
          <w:sz w:val="32"/>
          <w:szCs w:val="32"/>
          <w:lang w:val="en-US" w:eastAsia="zh-CN"/>
        </w:rPr>
        <w:t>和非财政专项帮扶资金使用边界，增加帮扶对象范围，提高资金使用效率。提前谋划，加快前期摸查核实、论证规划的时间进度，推动资金有效支出，把每一笔资金落实到教育优质项目上。</w:t>
      </w:r>
    </w:p>
    <w:p w14:paraId="02189C73">
      <w:pPr>
        <w:keepNext w:val="0"/>
        <w:keepLines w:val="0"/>
        <w:pageBreakBefore w:val="0"/>
        <w:widowControl/>
        <w:kinsoku/>
        <w:wordWrap/>
        <w:overflowPunct/>
        <w:topLinePunct w:val="0"/>
        <w:autoSpaceDE/>
        <w:autoSpaceDN/>
        <w:bidi w:val="0"/>
        <w:adjustRightInd/>
        <w:snapToGrid w:val="0"/>
        <w:spacing w:beforeLines="0" w:afterLines="0" w:line="360" w:lineRule="auto"/>
        <w:ind w:firstLine="640" w:firstLineChars="200"/>
        <w:textAlignment w:val="auto"/>
        <w:outlineLvl w:val="9"/>
        <w:rPr>
          <w:rFonts w:hint="eastAsia" w:ascii="黑体" w:hAnsi="Times New Roman" w:eastAsia="黑体" w:cs="Times New Roman"/>
          <w:sz w:val="32"/>
          <w:szCs w:val="32"/>
          <w:lang w:eastAsia="zh-CN"/>
        </w:rPr>
      </w:pPr>
      <w:r>
        <w:rPr>
          <w:rFonts w:hint="eastAsia" w:ascii="黑体" w:hAnsi="Times New Roman" w:eastAsia="黑体" w:cs="Times New Roman"/>
          <w:sz w:val="32"/>
          <w:szCs w:val="32"/>
          <w:lang w:eastAsia="zh-CN"/>
        </w:rPr>
        <w:t>四、到期拟延续计划</w:t>
      </w:r>
    </w:p>
    <w:p w14:paraId="7F3782FB">
      <w:pPr>
        <w:widowControl w:val="0"/>
        <w:spacing w:line="360" w:lineRule="auto"/>
        <w:ind w:firstLine="640" w:firstLineChars="200"/>
        <w:jc w:val="both"/>
        <w:textAlignment w:val="baseline"/>
        <w:rPr>
          <w:rFonts w:hint="eastAsia" w:ascii="仿宋_GB2312" w:hAnsi="仿宋_GB2312" w:eastAsia="仿宋_GB2312" w:cs="仿宋_GB2312"/>
          <w:bCs/>
          <w:kern w:val="2"/>
          <w:sz w:val="32"/>
          <w:szCs w:val="32"/>
          <w:lang w:val="en-US" w:eastAsia="zh-CN" w:bidi="ar"/>
        </w:rPr>
      </w:pPr>
      <w:r>
        <w:rPr>
          <w:rFonts w:hint="eastAsia" w:ascii="仿宋_GB2312" w:cs="Times New Roman"/>
          <w:sz w:val="32"/>
          <w:szCs w:val="32"/>
          <w:lang w:val="en-US" w:eastAsia="zh-CN"/>
        </w:rPr>
        <w:t>无。</w:t>
      </w:r>
      <w:bookmarkEnd w:id="1"/>
      <w:bookmarkEnd w:id="2"/>
      <w:bookmarkEnd w:id="3"/>
    </w:p>
    <w:p w14:paraId="3F9A154C"/>
    <w:sectPr>
      <w:pgSz w:w="11906" w:h="16838"/>
      <w:pgMar w:top="2041" w:right="1417" w:bottom="1417"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E5266A8C-C506-4A7B-8247-606CFF2E861B}"/>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2" w:fontKey="{FB4606B7-4052-4660-8665-C9192ED9536B}"/>
  </w:font>
  <w:font w:name="仿宋_GB2312">
    <w:panose1 w:val="02010609030101010101"/>
    <w:charset w:val="86"/>
    <w:family w:val="modern"/>
    <w:pitch w:val="default"/>
    <w:sig w:usb0="00000001" w:usb1="080E0000" w:usb2="00000000" w:usb3="00000000" w:csb0="00040000" w:csb1="00000000"/>
    <w:embedRegular r:id="rId3" w:fontKey="{E8363363-889A-4A14-B72B-464B421BF8B1}"/>
  </w:font>
  <w:font w:name="楷体">
    <w:panose1 w:val="02010609060101010101"/>
    <w:charset w:val="86"/>
    <w:family w:val="auto"/>
    <w:pitch w:val="default"/>
    <w:sig w:usb0="800002BF" w:usb1="38CF7CFA" w:usb2="00000016" w:usb3="00000000" w:csb0="00040001" w:csb1="00000000"/>
    <w:embedRegular r:id="rId4" w:fontKey="{AFD2A5B7-E26C-4141-B0DE-CD521DA08116}"/>
  </w:font>
  <w:font w:name="楷体_GB2312">
    <w:panose1 w:val="02010609030101010101"/>
    <w:charset w:val="86"/>
    <w:family w:val="auto"/>
    <w:pitch w:val="default"/>
    <w:sig w:usb0="00000001" w:usb1="080E0000" w:usb2="00000000" w:usb3="00000000" w:csb0="00040000" w:csb1="00000000"/>
  </w:font>
  <w:font w:name="方正小标宋简体">
    <w:panose1 w:val="02000000000000000000"/>
    <w:charset w:val="86"/>
    <w:family w:val="auto"/>
    <w:pitch w:val="default"/>
    <w:sig w:usb0="00000001" w:usb1="08000000" w:usb2="00000000" w:usb3="00000000" w:csb0="00040000" w:csb1="00000000"/>
    <w:embedRegular r:id="rId5" w:fontKey="{3B445389-E1E4-4E95-B25B-728BF4A74A33}"/>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embedRegular r:id="rId6" w:fontKey="{149F9834-7925-48EF-9675-36543F1FDA09}"/>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trackRevisions w:val="1"/>
  <w:documentProtection w:enforcement="0"/>
  <w:defaultTabStop w:val="420"/>
  <w:hyphenationZone w:val="36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KGWebUrl" w:val="https://xtbgsafe.gdzwfw.gov.cn/rz_gdjytoa//newoa/missive/kinggridOfficeServer.do?method=officeProcess"/>
  </w:docVars>
  <w:rsids>
    <w:rsidRoot w:val="2ABF650E"/>
    <w:rsid w:val="0F3A4549"/>
    <w:rsid w:val="1FB423B2"/>
    <w:rsid w:val="2ABF650E"/>
    <w:rsid w:val="375F5DCC"/>
    <w:rsid w:val="399F0E3F"/>
    <w:rsid w:val="3B6536D7"/>
    <w:rsid w:val="44D80FFA"/>
    <w:rsid w:val="4AEE60F8"/>
    <w:rsid w:val="76A27DBA"/>
    <w:rsid w:val="7FF7B622"/>
    <w:rsid w:val="DBBDAB10"/>
    <w:rsid w:val="EBFFB2CC"/>
    <w:rsid w:val="EEFD29F5"/>
    <w:rsid w:val="F5631FAB"/>
    <w:rsid w:val="F77D8061"/>
    <w:rsid w:val="F7DB00A7"/>
    <w:rsid w:val="FB7D54A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0"/>
      <w:szCs w:val="24"/>
      <w:lang w:val="en-US" w:eastAsia="zh-CN" w:bidi="ar-SA"/>
    </w:rPr>
  </w:style>
  <w:style w:type="paragraph" w:styleId="2">
    <w:name w:val="heading 3"/>
    <w:basedOn w:val="1"/>
    <w:next w:val="1"/>
    <w:unhideWhenUsed/>
    <w:qFormat/>
    <w:uiPriority w:val="9"/>
    <w:pPr>
      <w:spacing w:before="100" w:beforeAutospacing="1" w:after="100" w:afterAutospacing="1"/>
      <w:jc w:val="left"/>
      <w:outlineLvl w:val="2"/>
    </w:pPr>
    <w:rPr>
      <w:rFonts w:hint="eastAsia" w:ascii="宋体" w:hAnsi="宋体" w:eastAsia="宋体" w:cs="宋体"/>
      <w:b/>
      <w:kern w:val="0"/>
      <w:sz w:val="27"/>
      <w:szCs w:val="27"/>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annotation text"/>
    <w:basedOn w:val="1"/>
    <w:qFormat/>
    <w:uiPriority w:val="0"/>
    <w:pPr>
      <w:jc w:val="left"/>
    </w:pPr>
  </w:style>
  <w:style w:type="paragraph" w:customStyle="1" w:styleId="6">
    <w:name w:val="_Style 5"/>
    <w:qFormat/>
    <w:uiPriority w:val="0"/>
    <w:pPr>
      <w:widowControl w:val="0"/>
      <w:ind w:firstLine="200" w:firstLineChars="200"/>
      <w:jc w:val="both"/>
    </w:pPr>
    <w:rPr>
      <w:rFonts w:ascii="Calibri" w:hAnsi="Calibri" w:eastAsia="宋体" w:cs="Times New Roman"/>
      <w:kern w:val="2"/>
      <w:sz w:val="24"/>
      <w:szCs w:val="22"/>
      <w:lang w:val="en-US" w:eastAsia="zh-CN" w:bidi="ar-SA"/>
    </w:rPr>
  </w:style>
  <w:style w:type="paragraph" w:customStyle="1" w:styleId="7">
    <w:name w:val="正文（缩进）"/>
    <w:basedOn w:val="1"/>
    <w:qFormat/>
    <w:uiPriority w:val="0"/>
    <w:pPr>
      <w:spacing w:before="156" w:beforeLines="50" w:after="156" w:afterLines="50" w:line="360" w:lineRule="auto"/>
      <w:ind w:firstLine="480" w:firstLineChars="200"/>
    </w:pPr>
    <w:rPr>
      <w:kern w:val="0"/>
      <w:sz w:val="24"/>
      <w:szCs w:val="20"/>
    </w:rPr>
  </w:style>
  <w:style w:type="paragraph" w:customStyle="1" w:styleId="8">
    <w:name w:val="正文首行缩进 21"/>
    <w:basedOn w:val="9"/>
    <w:qFormat/>
    <w:uiPriority w:val="0"/>
    <w:pPr>
      <w:spacing w:line="360" w:lineRule="auto"/>
    </w:pPr>
    <w:rPr>
      <w:rFonts w:eastAsia="宋体"/>
      <w:sz w:val="24"/>
    </w:rPr>
  </w:style>
  <w:style w:type="paragraph" w:customStyle="1" w:styleId="9">
    <w:name w:val="正文文本缩进1"/>
    <w:basedOn w:val="1"/>
    <w:qFormat/>
    <w:uiPriority w:val="0"/>
    <w:pPr>
      <w:spacing w:line="150" w:lineRule="atLeast"/>
      <w:ind w:firstLine="420" w:firstLineChars="200"/>
      <w:textAlignment w:val="baseline"/>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268</Words>
  <Characters>281</Characters>
  <Lines>0</Lines>
  <Paragraphs>0</Paragraphs>
  <TotalTime>2</TotalTime>
  <ScaleCrop>false</ScaleCrop>
  <LinksUpToDate>false</LinksUpToDate>
  <CharactersWithSpaces>336</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2022-04-16T17:03:00Z</dcterms:created>
  <dc:creator>王小玉</dc:creator>
  <cp:lastModifiedBy>温毅波</cp:lastModifiedBy>
  <cp:lastPrinted>2025-04-08T10:19:00Z</cp:lastPrinted>
  <dcterms:modified xsi:type="dcterms:W3CDTF">2025-05-16T08:58:18Z</dcterms:modified>
  <dc:title>附件4-1：项目绩效自评报告（参考格式）</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ICV">
    <vt:lpwstr>3DB084AEC9F14A17BE61CD5C476F7D1A_13</vt:lpwstr>
  </property>
  <property fmtid="{D5CDD505-2E9C-101B-9397-08002B2CF9AE}" pid="4" name="ribbonExt">
    <vt:lpwstr>{"WPSExtOfficeTab":{"OnGetEnabled":false,"OnGetVisible":false}}</vt:lpwstr>
  </property>
  <property fmtid="{D5CDD505-2E9C-101B-9397-08002B2CF9AE}" pid="5" name="慧眼令牌">
    <vt:lpwstr>eyJraWQiOiJvYSIsInR5cCI6IkpXVCIsImFsZyI6IkhTMjU2In0.eyJzdWIiOiJPQS1MT0dJTiIsImNvcnBJZCI6IiIsIm1haW5BY2NvdW50IjoiIiwiaXNzIjoiRVhPQSIsIm9EZXB0IjoiIiwidXNlcklkIjoxNTM1MSwibURlcHQiOiIyNCzmlZnogrLnnaPlr7zlrqTvvIjnnIHmlL_lupzmlZnogrLnnaPlr7zlrqTvvIkiLCJuYmYiOjE3NDQ5MzMxMjcsIm5hbWUiOiLluoTpgIkiLCJleHAiOjIwNjAyOTY3MjcsImlhdCI6MTc0NDkzNjEyNywianRpIjoib2EiLCJhY2NvdW50Ijoiemh1YW5neCJ9.x3azvGOFI_g1I_ansh0fdglFEQwlozImu09rO6JgzK8</vt:lpwstr>
  </property>
  <property fmtid="{D5CDD505-2E9C-101B-9397-08002B2CF9AE}" pid="6" name="KSOTemplateDocerSaveRecord">
    <vt:lpwstr>eyJoZGlkIjoiODY4MDNjZTkyZGNjZmVkODhjOTVlNjRlMTlhYmYzMWYiLCJ1c2VySWQiOiI0NTM4OTU3NzMifQ==</vt:lpwstr>
  </property>
</Properties>
</file>